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103B5" w14:textId="653449F2" w:rsidR="000327EF" w:rsidRDefault="0020373E" w:rsidP="000A4756">
      <w:pPr>
        <w:pStyle w:val="Titre1"/>
        <w:jc w:val="center"/>
        <w:rPr>
          <w:rStyle w:val="lev"/>
        </w:rPr>
      </w:pPr>
      <w:r>
        <w:rPr>
          <w:rFonts w:ascii="Marianne" w:eastAsia="+mj-ea" w:hAnsi="Marianne" w:cs="+mj-cs"/>
          <w:color w:val="000000"/>
          <w:kern w:val="24"/>
          <w:sz w:val="40"/>
          <w:szCs w:val="40"/>
        </w:rPr>
        <w:t>Référentiel des catégories d’intrants et potentiel méthanogène par défaut</w:t>
      </w:r>
    </w:p>
    <w:p w14:paraId="2BC21B0E" w14:textId="77777777" w:rsidR="0020373E" w:rsidRDefault="0020373E">
      <w:pPr>
        <w:rPr>
          <w:rStyle w:val="lev"/>
        </w:rPr>
      </w:pPr>
    </w:p>
    <w:p w14:paraId="325F26ED" w14:textId="74D37717" w:rsidR="00137E7C" w:rsidRDefault="00C42523" w:rsidP="00137E7C">
      <w:pPr>
        <w:jc w:val="both"/>
        <w:rPr>
          <w:rStyle w:val="lev"/>
          <w:rFonts w:ascii="Marianne" w:hAnsi="Marianne"/>
          <w:b w:val="0"/>
        </w:rPr>
      </w:pPr>
      <w:r>
        <w:rPr>
          <w:rStyle w:val="lev"/>
          <w:rFonts w:ascii="Marianne" w:hAnsi="Marianne"/>
          <w:b w:val="0"/>
        </w:rPr>
        <w:t>Les Comités stratégiques de filière (CSF) ont pour objectif de rassembler l’</w:t>
      </w:r>
      <w:r w:rsidRPr="00C42523">
        <w:rPr>
          <w:rStyle w:val="lev"/>
          <w:rFonts w:ascii="Marianne" w:hAnsi="Marianne"/>
          <w:b w:val="0"/>
          <w:caps/>
        </w:rPr>
        <w:t>é</w:t>
      </w:r>
      <w:r>
        <w:rPr>
          <w:rStyle w:val="lev"/>
          <w:rFonts w:ascii="Marianne" w:hAnsi="Marianne"/>
          <w:b w:val="0"/>
        </w:rPr>
        <w:t>tat, les entreprises et les représentants des salariés au sein d’une même instance de dialogue</w:t>
      </w:r>
      <w:bookmarkStart w:id="0" w:name="_GoBack"/>
      <w:r>
        <w:rPr>
          <w:rStyle w:val="lev"/>
          <w:rFonts w:ascii="Marianne" w:hAnsi="Marianne"/>
          <w:b w:val="0"/>
        </w:rPr>
        <w:t>. 19</w:t>
      </w:r>
      <w:r w:rsidR="00303319">
        <w:rPr>
          <w:rStyle w:val="lev"/>
          <w:rFonts w:ascii="Marianne" w:hAnsi="Marianne"/>
          <w:b w:val="0"/>
        </w:rPr>
        <w:t> </w:t>
      </w:r>
      <w:bookmarkEnd w:id="0"/>
      <w:r>
        <w:rPr>
          <w:rStyle w:val="lev"/>
          <w:rFonts w:ascii="Marianne" w:hAnsi="Marianne"/>
          <w:b w:val="0"/>
        </w:rPr>
        <w:t xml:space="preserve">filières clés de l’industrie française disposent à ce jour un CSF reconnu. La filière « Nouveaux systèmes énergétiques » (NSE) en est l’une d’elles. Elle vise à </w:t>
      </w:r>
      <w:r w:rsidR="00C33BD3">
        <w:rPr>
          <w:rStyle w:val="lev"/>
          <w:rFonts w:ascii="Marianne" w:hAnsi="Marianne"/>
          <w:b w:val="0"/>
        </w:rPr>
        <w:t>donner à la France une ambition industrielle sur des technologies</w:t>
      </w:r>
      <w:r>
        <w:rPr>
          <w:rStyle w:val="lev"/>
          <w:rFonts w:ascii="Marianne" w:hAnsi="Marianne"/>
          <w:b w:val="0"/>
        </w:rPr>
        <w:t xml:space="preserve"> nouvelles</w:t>
      </w:r>
      <w:r w:rsidR="00C33BD3">
        <w:rPr>
          <w:rStyle w:val="lev"/>
          <w:rFonts w:ascii="Marianne" w:hAnsi="Marianne"/>
          <w:b w:val="0"/>
        </w:rPr>
        <w:t xml:space="preserve"> pour entreprendre la transition énergétique nécessaire à la lutte contre le changement climatique</w:t>
      </w:r>
      <w:r w:rsidR="00DC6259">
        <w:rPr>
          <w:rStyle w:val="lev"/>
          <w:rFonts w:ascii="Marianne" w:hAnsi="Marianne"/>
          <w:b w:val="0"/>
        </w:rPr>
        <w:t xml:space="preserve"> tout en réindustrialisant le territoire</w:t>
      </w:r>
      <w:r w:rsidR="00C33BD3">
        <w:rPr>
          <w:rStyle w:val="lev"/>
          <w:rFonts w:ascii="Marianne" w:hAnsi="Marianne"/>
          <w:b w:val="0"/>
        </w:rPr>
        <w:t>. Son périmètre recouvre les questions d’efficacité énergétique</w:t>
      </w:r>
      <w:r w:rsidR="006260B1">
        <w:rPr>
          <w:rStyle w:val="lev"/>
          <w:rFonts w:ascii="Marianne" w:hAnsi="Marianne"/>
          <w:b w:val="0"/>
        </w:rPr>
        <w:t>, de stockage de l’énergie, d’énergies renouvelables et de</w:t>
      </w:r>
      <w:r w:rsidR="00C33BD3">
        <w:rPr>
          <w:rStyle w:val="lev"/>
          <w:rFonts w:ascii="Marianne" w:hAnsi="Marianne"/>
          <w:b w:val="0"/>
        </w:rPr>
        <w:t xml:space="preserve"> réseaux énergétiques.</w:t>
      </w:r>
      <w:r w:rsidR="00DC6259">
        <w:rPr>
          <w:rStyle w:val="lev"/>
          <w:rFonts w:ascii="Marianne" w:hAnsi="Marianne"/>
          <w:b w:val="0"/>
        </w:rPr>
        <w:t xml:space="preserve"> 22</w:t>
      </w:r>
      <w:r w:rsidR="00137E7C">
        <w:rPr>
          <w:rStyle w:val="lev"/>
          <w:rFonts w:ascii="Marianne" w:hAnsi="Marianne"/>
          <w:b w:val="0"/>
        </w:rPr>
        <w:t xml:space="preserve"> groupes de travail (GT) permettent d’avancer sur ces 4 axes. Parmi eux, le GT biogaz. </w:t>
      </w:r>
    </w:p>
    <w:p w14:paraId="2B87D657" w14:textId="51B649FE" w:rsidR="00230B25" w:rsidRDefault="00B9780C" w:rsidP="00137E7C">
      <w:pPr>
        <w:jc w:val="both"/>
        <w:rPr>
          <w:rStyle w:val="lev"/>
          <w:rFonts w:ascii="Marianne" w:hAnsi="Marianne"/>
          <w:b w:val="0"/>
        </w:rPr>
      </w:pPr>
      <w:r>
        <w:rPr>
          <w:rStyle w:val="lev"/>
          <w:rFonts w:ascii="Marianne" w:hAnsi="Marianne"/>
          <w:b w:val="0"/>
        </w:rPr>
        <w:t>À partir du 1</w:t>
      </w:r>
      <w:r w:rsidRPr="00B9780C">
        <w:rPr>
          <w:rStyle w:val="lev"/>
          <w:rFonts w:ascii="Marianne" w:hAnsi="Marianne"/>
          <w:b w:val="0"/>
          <w:vertAlign w:val="superscript"/>
        </w:rPr>
        <w:t>er</w:t>
      </w:r>
      <w:r>
        <w:rPr>
          <w:rStyle w:val="lev"/>
          <w:rFonts w:ascii="Marianne" w:hAnsi="Marianne"/>
          <w:b w:val="0"/>
        </w:rPr>
        <w:t xml:space="preserve"> juillet 2023, il devient obligatoire pour un méthaniseur </w:t>
      </w:r>
      <w:r w:rsidR="00DC6259">
        <w:rPr>
          <w:rStyle w:val="lev"/>
          <w:rFonts w:ascii="Marianne" w:hAnsi="Marianne"/>
          <w:b w:val="0"/>
        </w:rPr>
        <w:t>d’une capacité maximale de production supérieure à 200 Nm</w:t>
      </w:r>
      <w:r w:rsidR="00DC6259" w:rsidRPr="00DC6259">
        <w:rPr>
          <w:rStyle w:val="lev"/>
          <w:rFonts w:ascii="Marianne" w:hAnsi="Marianne"/>
          <w:b w:val="0"/>
          <w:vertAlign w:val="superscript"/>
        </w:rPr>
        <w:t>3</w:t>
      </w:r>
      <w:r w:rsidR="00DC6259">
        <w:rPr>
          <w:rStyle w:val="lev"/>
          <w:rFonts w:ascii="Marianne" w:hAnsi="Marianne"/>
          <w:b w:val="0"/>
        </w:rPr>
        <w:t xml:space="preserve"> </w:t>
      </w:r>
      <w:r>
        <w:rPr>
          <w:rStyle w:val="lev"/>
          <w:rFonts w:ascii="Marianne" w:hAnsi="Marianne"/>
          <w:b w:val="0"/>
        </w:rPr>
        <w:t>de disposer d’un certificat de durabilité pour pouvoir bénéficier des tarifs d’achat de l’</w:t>
      </w:r>
      <w:r w:rsidRPr="00B9780C">
        <w:rPr>
          <w:rStyle w:val="lev"/>
          <w:rFonts w:ascii="Marianne" w:hAnsi="Marianne"/>
          <w:b w:val="0"/>
          <w:caps/>
        </w:rPr>
        <w:t>é</w:t>
      </w:r>
      <w:r>
        <w:rPr>
          <w:rStyle w:val="lev"/>
          <w:rFonts w:ascii="Marianne" w:hAnsi="Marianne"/>
          <w:b w:val="0"/>
        </w:rPr>
        <w:t xml:space="preserve">tat français et pour commercialiser sa production d’énergie en Europe. Différents schémas de certification existent à l’heure actuelle, mais tous </w:t>
      </w:r>
      <w:r w:rsidR="00DC6259">
        <w:rPr>
          <w:rStyle w:val="lev"/>
          <w:rFonts w:ascii="Marianne" w:hAnsi="Marianne"/>
          <w:b w:val="0"/>
        </w:rPr>
        <w:t>possèdent leur propre catégorisation des intrants et il est parfois difficile de situer ceux utilisés par les méthaniseurs français</w:t>
      </w:r>
      <w:r>
        <w:rPr>
          <w:rStyle w:val="lev"/>
          <w:rFonts w:ascii="Marianne" w:hAnsi="Marianne"/>
          <w:b w:val="0"/>
        </w:rPr>
        <w:t>.</w:t>
      </w:r>
      <w:r w:rsidR="00230B25">
        <w:rPr>
          <w:rStyle w:val="lev"/>
          <w:rFonts w:ascii="Marianne" w:hAnsi="Marianne"/>
          <w:b w:val="0"/>
        </w:rPr>
        <w:t xml:space="preserve"> Le GT biogaz du CSF NSE s’est donc attaché à comparer les catégories d’intrants définies par les principaux </w:t>
      </w:r>
      <w:r w:rsidR="00303319">
        <w:rPr>
          <w:rStyle w:val="lev"/>
          <w:rFonts w:ascii="Marianne" w:hAnsi="Marianne"/>
          <w:b w:val="0"/>
        </w:rPr>
        <w:t xml:space="preserve">schémas </w:t>
      </w:r>
      <w:r w:rsidR="00DC6259">
        <w:rPr>
          <w:rStyle w:val="lev"/>
          <w:rFonts w:ascii="Marianne" w:hAnsi="Marianne"/>
          <w:b w:val="0"/>
        </w:rPr>
        <w:t>volontaires européens</w:t>
      </w:r>
      <w:r w:rsidR="00230B25">
        <w:rPr>
          <w:rStyle w:val="lev"/>
          <w:rFonts w:ascii="Marianne" w:hAnsi="Marianne"/>
          <w:b w:val="0"/>
        </w:rPr>
        <w:t xml:space="preserve"> et les pouvoirs méthanogènes associés</w:t>
      </w:r>
      <w:r w:rsidR="00AC5F81">
        <w:rPr>
          <w:rStyle w:val="lev"/>
          <w:rFonts w:ascii="Marianne" w:hAnsi="Marianne"/>
          <w:b w:val="0"/>
        </w:rPr>
        <w:t>, pour en extraire une typologie pour la méthanisation française</w:t>
      </w:r>
      <w:r w:rsidR="00230B25">
        <w:rPr>
          <w:rStyle w:val="lev"/>
          <w:rFonts w:ascii="Marianne" w:hAnsi="Marianne"/>
          <w:b w:val="0"/>
        </w:rPr>
        <w:t>.</w:t>
      </w:r>
    </w:p>
    <w:p w14:paraId="70CCD1D1" w14:textId="7D96B232" w:rsidR="000327EF" w:rsidRPr="0020373E" w:rsidRDefault="00AC5F81" w:rsidP="00C46990">
      <w:pPr>
        <w:jc w:val="both"/>
        <w:rPr>
          <w:rStyle w:val="lev"/>
          <w:rFonts w:ascii="Marianne" w:eastAsiaTheme="majorEastAsia" w:hAnsi="Marianne" w:cstheme="majorBidi"/>
          <w:b w:val="0"/>
          <w:color w:val="2F5496" w:themeColor="accent1" w:themeShade="BF"/>
          <w:sz w:val="32"/>
          <w:szCs w:val="32"/>
        </w:rPr>
      </w:pPr>
      <w:r>
        <w:rPr>
          <w:rStyle w:val="lev"/>
          <w:rFonts w:ascii="Marianne" w:hAnsi="Marianne"/>
          <w:b w:val="0"/>
        </w:rPr>
        <w:t>Ce document</w:t>
      </w:r>
      <w:r w:rsidR="00F377F2">
        <w:rPr>
          <w:rStyle w:val="lev"/>
          <w:rFonts w:ascii="Marianne" w:hAnsi="Marianne"/>
          <w:b w:val="0"/>
        </w:rPr>
        <w:t>, rédigé par le CSF NSE,</w:t>
      </w:r>
      <w:r>
        <w:rPr>
          <w:rStyle w:val="lev"/>
          <w:rFonts w:ascii="Marianne" w:hAnsi="Marianne"/>
          <w:b w:val="0"/>
        </w:rPr>
        <w:t xml:space="preserve"> présente la méthode mise en œuvre pour atteindre cet objectif. Celle-ci a été partagée au sein du GT méthanisation de FranceAgriMer</w:t>
      </w:r>
      <w:r w:rsidR="00E124D5">
        <w:rPr>
          <w:rStyle w:val="lev"/>
          <w:rFonts w:ascii="Marianne" w:hAnsi="Marianne"/>
          <w:b w:val="0"/>
        </w:rPr>
        <w:t xml:space="preserve"> et a été validée par ce groupe. Ainsi, FranceAgriMer publie sur son site </w:t>
      </w:r>
      <w:r w:rsidR="00F377F2">
        <w:rPr>
          <w:rStyle w:val="lev"/>
          <w:rFonts w:ascii="Marianne" w:hAnsi="Marianne"/>
          <w:b w:val="0"/>
        </w:rPr>
        <w:t xml:space="preserve">internet </w:t>
      </w:r>
      <w:r w:rsidR="00E124D5">
        <w:rPr>
          <w:rStyle w:val="lev"/>
          <w:rFonts w:ascii="Marianne" w:hAnsi="Marianne"/>
          <w:b w:val="0"/>
        </w:rPr>
        <w:t>les documents issus de cette démarche collective, afin de les mettre à disposition de la filière et leur donner une visibilité.</w:t>
      </w:r>
      <w:r w:rsidR="000327EF" w:rsidRPr="0020373E">
        <w:rPr>
          <w:rStyle w:val="lev"/>
          <w:rFonts w:ascii="Marianne" w:hAnsi="Marianne"/>
          <w:b w:val="0"/>
        </w:rPr>
        <w:br w:type="page"/>
      </w:r>
    </w:p>
    <w:p w14:paraId="15EBF0BA" w14:textId="30D83097" w:rsidR="006E0935" w:rsidRDefault="006E0935" w:rsidP="000A4756">
      <w:pPr>
        <w:pStyle w:val="Titre1"/>
        <w:jc w:val="center"/>
        <w:rPr>
          <w:rStyle w:val="lev"/>
        </w:rPr>
      </w:pPr>
      <w:r w:rsidRPr="000A4756">
        <w:rPr>
          <w:rStyle w:val="lev"/>
        </w:rPr>
        <w:lastRenderedPageBreak/>
        <w:t>Mission CSF :</w:t>
      </w:r>
      <w:r w:rsidR="000A4756" w:rsidRPr="000A4756">
        <w:rPr>
          <w:rStyle w:val="lev"/>
        </w:rPr>
        <w:t xml:space="preserve"> Référentiel des catégories d'intrants et potentiel méthanogène par défaut</w:t>
      </w:r>
    </w:p>
    <w:p w14:paraId="36F1BDAD" w14:textId="77777777" w:rsidR="000A4756" w:rsidRPr="000A4756" w:rsidRDefault="000A4756" w:rsidP="000A4756"/>
    <w:p w14:paraId="583126E3" w14:textId="2D6B3010" w:rsidR="006E0935" w:rsidRPr="000A4756" w:rsidRDefault="006E0935" w:rsidP="000A4756">
      <w:pPr>
        <w:pStyle w:val="Paragraphedeliste"/>
        <w:numPr>
          <w:ilvl w:val="0"/>
          <w:numId w:val="6"/>
        </w:num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0A4756">
        <w:rPr>
          <w:rFonts w:ascii="Times New Roman" w:eastAsia="Times New Roman" w:hAnsi="Times New Roman" w:cs="Times New Roman"/>
          <w:b/>
          <w:bCs/>
          <w:kern w:val="0"/>
          <w:sz w:val="24"/>
          <w:szCs w:val="24"/>
          <w:lang w:eastAsia="fr-FR"/>
          <w14:ligatures w14:val="none"/>
        </w:rPr>
        <w:t>Classement exhaustif des intrants français</w:t>
      </w:r>
      <w:r w:rsidR="007B0EDD" w:rsidRPr="000A4756">
        <w:rPr>
          <w:rFonts w:ascii="Times New Roman" w:eastAsia="Times New Roman" w:hAnsi="Times New Roman" w:cs="Times New Roman"/>
          <w:b/>
          <w:bCs/>
          <w:kern w:val="0"/>
          <w:sz w:val="24"/>
          <w:szCs w:val="24"/>
          <w:lang w:eastAsia="fr-FR"/>
          <w14:ligatures w14:val="none"/>
        </w:rPr>
        <w:t xml:space="preserve"> : création d’une typologie française</w:t>
      </w:r>
    </w:p>
    <w:p w14:paraId="69004797" w14:textId="7FDC3B3C" w:rsidR="007825B3" w:rsidRPr="000506EF" w:rsidRDefault="006E0935" w:rsidP="000506EF">
      <w:pPr>
        <w:pStyle w:val="Paragraphedeliste"/>
        <w:numPr>
          <w:ilvl w:val="0"/>
          <w:numId w:val="6"/>
        </w:num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0A4756">
        <w:rPr>
          <w:rFonts w:ascii="Times New Roman" w:eastAsia="Times New Roman" w:hAnsi="Times New Roman" w:cs="Times New Roman"/>
          <w:b/>
          <w:bCs/>
          <w:kern w:val="0"/>
          <w:sz w:val="24"/>
          <w:szCs w:val="24"/>
          <w:lang w:eastAsia="fr-FR"/>
          <w14:ligatures w14:val="none"/>
        </w:rPr>
        <w:t>Correspondance avec les classements français existants et des schémas volontaires européens</w:t>
      </w:r>
    </w:p>
    <w:tbl>
      <w:tblPr>
        <w:tblStyle w:val="Grilledutableau"/>
        <w:tblW w:w="0" w:type="auto"/>
        <w:shd w:val="clear" w:color="auto" w:fill="002060"/>
        <w:tblLook w:val="04A0" w:firstRow="1" w:lastRow="0" w:firstColumn="1" w:lastColumn="0" w:noHBand="0" w:noVBand="1"/>
      </w:tblPr>
      <w:tblGrid>
        <w:gridCol w:w="9350"/>
      </w:tblGrid>
      <w:tr w:rsidR="00741BCB" w14:paraId="4106B9C7" w14:textId="77777777" w:rsidTr="00741BCB">
        <w:tc>
          <w:tcPr>
            <w:tcW w:w="9350" w:type="dxa"/>
            <w:shd w:val="clear" w:color="auto" w:fill="002060"/>
          </w:tcPr>
          <w:p w14:paraId="3A11DB23" w14:textId="77777777" w:rsidR="00741BCB" w:rsidRPr="00741BCB" w:rsidRDefault="00741BCB" w:rsidP="00741BCB">
            <w:pPr>
              <w:spacing w:before="100" w:beforeAutospacing="1" w:after="100" w:afterAutospacing="1"/>
              <w:ind w:left="360"/>
              <w:rPr>
                <w:rFonts w:ascii="Times New Roman" w:eastAsia="Times New Roman" w:hAnsi="Times New Roman" w:cs="Times New Roman"/>
                <w:b/>
                <w:bCs/>
                <w:kern w:val="0"/>
                <w:sz w:val="24"/>
                <w:szCs w:val="24"/>
                <w:lang w:eastAsia="fr-FR"/>
                <w14:ligatures w14:val="none"/>
              </w:rPr>
            </w:pPr>
            <w:r w:rsidRPr="00741BCB">
              <w:rPr>
                <w:rFonts w:ascii="Times New Roman" w:eastAsia="Times New Roman" w:hAnsi="Times New Roman" w:cs="Times New Roman"/>
                <w:b/>
                <w:bCs/>
                <w:kern w:val="0"/>
                <w:sz w:val="24"/>
                <w:szCs w:val="24"/>
                <w:lang w:eastAsia="fr-FR"/>
                <w14:ligatures w14:val="none"/>
              </w:rPr>
              <w:t>Avis de non-responsabilité :</w:t>
            </w:r>
          </w:p>
          <w:p w14:paraId="5A10B15E" w14:textId="77777777" w:rsidR="00741BCB" w:rsidRPr="00741BCB" w:rsidRDefault="00741BCB" w:rsidP="00741BCB">
            <w:pPr>
              <w:spacing w:before="100" w:beforeAutospacing="1" w:after="100" w:afterAutospacing="1"/>
              <w:ind w:left="360"/>
              <w:jc w:val="both"/>
              <w:rPr>
                <w:rFonts w:ascii="Times New Roman" w:eastAsia="Times New Roman" w:hAnsi="Times New Roman" w:cs="Times New Roman"/>
                <w:kern w:val="0"/>
                <w:sz w:val="24"/>
                <w:szCs w:val="24"/>
                <w:lang w:eastAsia="fr-FR"/>
                <w14:ligatures w14:val="none"/>
              </w:rPr>
            </w:pPr>
            <w:r w:rsidRPr="00741BCB">
              <w:rPr>
                <w:rFonts w:ascii="Times New Roman" w:eastAsia="Times New Roman" w:hAnsi="Times New Roman" w:cs="Times New Roman"/>
                <w:kern w:val="0"/>
                <w:sz w:val="24"/>
                <w:szCs w:val="24"/>
                <w:lang w:eastAsia="fr-FR"/>
                <w14:ligatures w14:val="none"/>
              </w:rPr>
              <w:t>Le GT Biogaz et les auteurs de ce document déclinent toute responsabilité quant à l’exactitude, l’exhaustivité ou l’actualité des informations fournies. Les utilisateurs de ce document sont invités à consulter des professionnels qualifiés pour obtenir des conseils spécifiques adaptés à leur situation particulière.</w:t>
            </w:r>
          </w:p>
          <w:p w14:paraId="2C25CBC3" w14:textId="6A497735" w:rsidR="00741BCB" w:rsidRPr="00741BCB" w:rsidRDefault="00741BCB" w:rsidP="00741BCB">
            <w:pPr>
              <w:spacing w:before="100" w:beforeAutospacing="1" w:after="100" w:afterAutospacing="1"/>
              <w:ind w:left="360"/>
              <w:jc w:val="both"/>
              <w:rPr>
                <w:rFonts w:ascii="Times New Roman" w:eastAsia="Times New Roman" w:hAnsi="Times New Roman" w:cs="Times New Roman"/>
                <w:kern w:val="0"/>
                <w:sz w:val="24"/>
                <w:szCs w:val="24"/>
                <w:lang w:eastAsia="fr-FR"/>
                <w14:ligatures w14:val="none"/>
              </w:rPr>
            </w:pPr>
            <w:r w:rsidRPr="00741BCB">
              <w:rPr>
                <w:rFonts w:ascii="Times New Roman" w:eastAsia="Times New Roman" w:hAnsi="Times New Roman" w:cs="Times New Roman"/>
                <w:kern w:val="0"/>
                <w:sz w:val="24"/>
                <w:szCs w:val="24"/>
                <w:lang w:eastAsia="fr-FR"/>
                <w14:ligatures w14:val="none"/>
              </w:rPr>
              <w:t>En aucun cas, le GT Biogaz, ses membres ou les auteurs de ce document ne pourront être tenus responsables des dommages directs, indirects, accessoires, spéciaux ou consécutifs résultant de l’utilisation ou de l’incapacité à utiliser les informations contenues dans ce document.</w:t>
            </w:r>
          </w:p>
        </w:tc>
      </w:tr>
    </w:tbl>
    <w:p w14:paraId="2B786587" w14:textId="50D83083" w:rsidR="00214B40" w:rsidRPr="00724E97" w:rsidRDefault="00214B40" w:rsidP="00724E97">
      <w:pPr>
        <w:pStyle w:val="Paragraphedeliste"/>
        <w:numPr>
          <w:ilvl w:val="0"/>
          <w:numId w:val="5"/>
        </w:num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724E97">
        <w:rPr>
          <w:rFonts w:ascii="Times New Roman" w:eastAsia="Times New Roman" w:hAnsi="Times New Roman" w:cs="Times New Roman"/>
          <w:b/>
          <w:bCs/>
          <w:kern w:val="0"/>
          <w:sz w:val="24"/>
          <w:szCs w:val="24"/>
          <w:lang w:eastAsia="fr-FR"/>
          <w14:ligatures w14:val="none"/>
        </w:rPr>
        <w:t>Classement exhaustif des intrants français</w:t>
      </w:r>
      <w:r w:rsidR="007B0EDD">
        <w:rPr>
          <w:rFonts w:ascii="Times New Roman" w:eastAsia="Times New Roman" w:hAnsi="Times New Roman" w:cs="Times New Roman"/>
          <w:b/>
          <w:bCs/>
          <w:kern w:val="0"/>
          <w:sz w:val="24"/>
          <w:szCs w:val="24"/>
          <w:lang w:eastAsia="fr-FR"/>
          <w14:ligatures w14:val="none"/>
        </w:rPr>
        <w:t> : création d’une typologie française</w:t>
      </w:r>
    </w:p>
    <w:p w14:paraId="3B35C59B" w14:textId="3DC6836A" w:rsidR="00A76B15" w:rsidRDefault="00247C25" w:rsidP="00EE1D18">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Afin de vérifier le respect des seuils d’émission de gaz à effet de serre fixés par la </w:t>
      </w:r>
      <w:r w:rsidR="0023391C">
        <w:rPr>
          <w:rFonts w:ascii="Times New Roman" w:eastAsia="Times New Roman" w:hAnsi="Times New Roman" w:cs="Times New Roman"/>
          <w:kern w:val="0"/>
          <w:sz w:val="24"/>
          <w:szCs w:val="24"/>
          <w:lang w:eastAsia="fr-FR"/>
          <w14:ligatures w14:val="none"/>
        </w:rPr>
        <w:t>directive européenne « </w:t>
      </w:r>
      <w:r>
        <w:rPr>
          <w:rFonts w:ascii="Times New Roman" w:eastAsia="Times New Roman" w:hAnsi="Times New Roman" w:cs="Times New Roman"/>
          <w:kern w:val="0"/>
          <w:sz w:val="24"/>
          <w:szCs w:val="24"/>
          <w:lang w:eastAsia="fr-FR"/>
          <w14:ligatures w14:val="none"/>
        </w:rPr>
        <w:t>RED</w:t>
      </w:r>
      <w:r w:rsidR="0023391C">
        <w:rPr>
          <w:rFonts w:ascii="Times New Roman" w:eastAsia="Times New Roman" w:hAnsi="Times New Roman" w:cs="Times New Roman"/>
          <w:kern w:val="0"/>
          <w:sz w:val="24"/>
          <w:szCs w:val="24"/>
          <w:lang w:eastAsia="fr-FR"/>
          <w14:ligatures w14:val="none"/>
        </w:rPr>
        <w:t> II »</w:t>
      </w:r>
      <w:r>
        <w:rPr>
          <w:rFonts w:ascii="Times New Roman" w:eastAsia="Times New Roman" w:hAnsi="Times New Roman" w:cs="Times New Roman"/>
          <w:kern w:val="0"/>
          <w:sz w:val="24"/>
          <w:szCs w:val="24"/>
          <w:lang w:eastAsia="fr-FR"/>
          <w14:ligatures w14:val="none"/>
        </w:rPr>
        <w:t xml:space="preserve">, des audits sont menés sur </w:t>
      </w:r>
      <w:r w:rsidR="00345D15">
        <w:rPr>
          <w:rFonts w:ascii="Times New Roman" w:eastAsia="Times New Roman" w:hAnsi="Times New Roman" w:cs="Times New Roman"/>
          <w:kern w:val="0"/>
          <w:sz w:val="24"/>
          <w:szCs w:val="24"/>
          <w:lang w:eastAsia="fr-FR"/>
          <w14:ligatures w14:val="none"/>
        </w:rPr>
        <w:t>site</w:t>
      </w:r>
      <w:r>
        <w:rPr>
          <w:rFonts w:ascii="Times New Roman" w:eastAsia="Times New Roman" w:hAnsi="Times New Roman" w:cs="Times New Roman"/>
          <w:kern w:val="0"/>
          <w:sz w:val="24"/>
          <w:szCs w:val="24"/>
          <w:lang w:eastAsia="fr-FR"/>
          <w14:ligatures w14:val="none"/>
        </w:rPr>
        <w:t xml:space="preserve"> pour certifier le caractère durable de l’unité de production</w:t>
      </w:r>
      <w:r w:rsidR="00345D15">
        <w:rPr>
          <w:rFonts w:ascii="Times New Roman" w:eastAsia="Times New Roman" w:hAnsi="Times New Roman" w:cs="Times New Roman"/>
          <w:kern w:val="0"/>
          <w:sz w:val="24"/>
          <w:szCs w:val="24"/>
          <w:lang w:eastAsia="fr-FR"/>
          <w14:ligatures w14:val="none"/>
        </w:rPr>
        <w:t xml:space="preserve"> de biogaz</w:t>
      </w:r>
      <w:r>
        <w:rPr>
          <w:rFonts w:ascii="Times New Roman" w:eastAsia="Times New Roman" w:hAnsi="Times New Roman" w:cs="Times New Roman"/>
          <w:kern w:val="0"/>
          <w:sz w:val="24"/>
          <w:szCs w:val="24"/>
          <w:lang w:eastAsia="fr-FR"/>
          <w14:ligatures w14:val="none"/>
        </w:rPr>
        <w:t>.</w:t>
      </w:r>
      <w:r w:rsidR="0023391C">
        <w:rPr>
          <w:rFonts w:ascii="Times New Roman" w:eastAsia="Times New Roman" w:hAnsi="Times New Roman" w:cs="Times New Roman"/>
          <w:kern w:val="0"/>
          <w:sz w:val="24"/>
          <w:szCs w:val="24"/>
          <w:lang w:eastAsia="fr-FR"/>
          <w14:ligatures w14:val="none"/>
        </w:rPr>
        <w:t xml:space="preserve"> </w:t>
      </w:r>
      <w:r w:rsidR="00A76B15">
        <w:rPr>
          <w:rFonts w:ascii="Times New Roman" w:eastAsia="Times New Roman" w:hAnsi="Times New Roman" w:cs="Times New Roman"/>
          <w:kern w:val="0"/>
          <w:sz w:val="24"/>
          <w:szCs w:val="24"/>
          <w:lang w:eastAsia="fr-FR"/>
          <w14:ligatures w14:val="none"/>
        </w:rPr>
        <w:t xml:space="preserve">L’objectif </w:t>
      </w:r>
      <w:r w:rsidR="00B10714">
        <w:rPr>
          <w:rFonts w:ascii="Times New Roman" w:eastAsia="Times New Roman" w:hAnsi="Times New Roman" w:cs="Times New Roman"/>
          <w:kern w:val="0"/>
          <w:sz w:val="24"/>
          <w:szCs w:val="24"/>
          <w:lang w:eastAsia="fr-FR"/>
          <w14:ligatures w14:val="none"/>
        </w:rPr>
        <w:t xml:space="preserve">de ce travail </w:t>
      </w:r>
      <w:r w:rsidR="00A76B15">
        <w:rPr>
          <w:rFonts w:ascii="Times New Roman" w:eastAsia="Times New Roman" w:hAnsi="Times New Roman" w:cs="Times New Roman"/>
          <w:kern w:val="0"/>
          <w:sz w:val="24"/>
          <w:szCs w:val="24"/>
          <w:lang w:eastAsia="fr-FR"/>
          <w14:ligatures w14:val="none"/>
        </w:rPr>
        <w:t xml:space="preserve">est </w:t>
      </w:r>
      <w:r w:rsidR="0023391C">
        <w:rPr>
          <w:rFonts w:ascii="Times New Roman" w:eastAsia="Times New Roman" w:hAnsi="Times New Roman" w:cs="Times New Roman"/>
          <w:kern w:val="0"/>
          <w:sz w:val="24"/>
          <w:szCs w:val="24"/>
          <w:lang w:eastAsia="fr-FR"/>
          <w14:ligatures w14:val="none"/>
        </w:rPr>
        <w:t>de mettre à disposition du secteur</w:t>
      </w:r>
      <w:r w:rsidR="00A76B15">
        <w:rPr>
          <w:rFonts w:ascii="Times New Roman" w:eastAsia="Times New Roman" w:hAnsi="Times New Roman" w:cs="Times New Roman"/>
          <w:kern w:val="0"/>
          <w:sz w:val="24"/>
          <w:szCs w:val="24"/>
          <w:lang w:eastAsia="fr-FR"/>
          <w14:ligatures w14:val="none"/>
        </w:rPr>
        <w:t xml:space="preserve"> une liste </w:t>
      </w:r>
      <w:r w:rsidR="00B10714">
        <w:rPr>
          <w:rFonts w:ascii="Times New Roman" w:eastAsia="Times New Roman" w:hAnsi="Times New Roman" w:cs="Times New Roman"/>
          <w:kern w:val="0"/>
          <w:sz w:val="24"/>
          <w:szCs w:val="24"/>
          <w:lang w:eastAsia="fr-FR"/>
          <w14:ligatures w14:val="none"/>
        </w:rPr>
        <w:t>exhaustive d</w:t>
      </w:r>
      <w:r w:rsidR="0023391C">
        <w:rPr>
          <w:rFonts w:ascii="Times New Roman" w:eastAsia="Times New Roman" w:hAnsi="Times New Roman" w:cs="Times New Roman"/>
          <w:kern w:val="0"/>
          <w:sz w:val="24"/>
          <w:szCs w:val="24"/>
          <w:lang w:eastAsia="fr-FR"/>
          <w14:ligatures w14:val="none"/>
        </w:rPr>
        <w:t>’</w:t>
      </w:r>
      <w:r w:rsidR="00B10714">
        <w:rPr>
          <w:rFonts w:ascii="Times New Roman" w:eastAsia="Times New Roman" w:hAnsi="Times New Roman" w:cs="Times New Roman"/>
          <w:kern w:val="0"/>
          <w:sz w:val="24"/>
          <w:szCs w:val="24"/>
          <w:lang w:eastAsia="fr-FR"/>
          <w14:ligatures w14:val="none"/>
        </w:rPr>
        <w:t>intrants</w:t>
      </w:r>
      <w:r w:rsidR="0023391C">
        <w:rPr>
          <w:rFonts w:ascii="Times New Roman" w:eastAsia="Times New Roman" w:hAnsi="Times New Roman" w:cs="Times New Roman"/>
          <w:kern w:val="0"/>
          <w:sz w:val="24"/>
          <w:szCs w:val="24"/>
          <w:lang w:eastAsia="fr-FR"/>
          <w14:ligatures w14:val="none"/>
        </w:rPr>
        <w:t xml:space="preserve"> utilisés par l</w:t>
      </w:r>
      <w:r w:rsidR="00B10714">
        <w:rPr>
          <w:rFonts w:ascii="Times New Roman" w:eastAsia="Times New Roman" w:hAnsi="Times New Roman" w:cs="Times New Roman"/>
          <w:kern w:val="0"/>
          <w:sz w:val="24"/>
          <w:szCs w:val="24"/>
          <w:lang w:eastAsia="fr-FR"/>
          <w14:ligatures w14:val="none"/>
        </w:rPr>
        <w:t xml:space="preserve">es méthaniseurs français, </w:t>
      </w:r>
      <w:r w:rsidR="0023391C">
        <w:rPr>
          <w:rFonts w:ascii="Times New Roman" w:eastAsia="Times New Roman" w:hAnsi="Times New Roman" w:cs="Times New Roman"/>
          <w:kern w:val="0"/>
          <w:sz w:val="24"/>
          <w:szCs w:val="24"/>
          <w:lang w:eastAsia="fr-FR"/>
          <w14:ligatures w14:val="none"/>
        </w:rPr>
        <w:t xml:space="preserve">qui </w:t>
      </w:r>
      <w:r w:rsidR="00A76B15">
        <w:rPr>
          <w:rFonts w:ascii="Times New Roman" w:eastAsia="Times New Roman" w:hAnsi="Times New Roman" w:cs="Times New Roman"/>
          <w:kern w:val="0"/>
          <w:sz w:val="24"/>
          <w:szCs w:val="24"/>
          <w:lang w:eastAsia="fr-FR"/>
          <w14:ligatures w14:val="none"/>
        </w:rPr>
        <w:t>regroup</w:t>
      </w:r>
      <w:r w:rsidR="0023391C">
        <w:rPr>
          <w:rFonts w:ascii="Times New Roman" w:eastAsia="Times New Roman" w:hAnsi="Times New Roman" w:cs="Times New Roman"/>
          <w:kern w:val="0"/>
          <w:sz w:val="24"/>
          <w:szCs w:val="24"/>
          <w:lang w:eastAsia="fr-FR"/>
          <w14:ligatures w14:val="none"/>
        </w:rPr>
        <w:t>e</w:t>
      </w:r>
      <w:r w:rsidR="00A76B15">
        <w:rPr>
          <w:rFonts w:ascii="Times New Roman" w:eastAsia="Times New Roman" w:hAnsi="Times New Roman" w:cs="Times New Roman"/>
          <w:kern w:val="0"/>
          <w:sz w:val="24"/>
          <w:szCs w:val="24"/>
          <w:lang w:eastAsia="fr-FR"/>
          <w14:ligatures w14:val="none"/>
        </w:rPr>
        <w:t xml:space="preserve"> d’une part les intrants par origine (</w:t>
      </w:r>
      <w:r w:rsidR="00A76B15" w:rsidRPr="00B10714">
        <w:rPr>
          <w:rFonts w:ascii="Times New Roman" w:eastAsia="Times New Roman" w:hAnsi="Times New Roman" w:cs="Times New Roman"/>
          <w:i/>
          <w:kern w:val="0"/>
          <w:sz w:val="24"/>
          <w:szCs w:val="24"/>
          <w:lang w:eastAsia="fr-FR"/>
          <w14:ligatures w14:val="none"/>
        </w:rPr>
        <w:t>i.e.</w:t>
      </w:r>
      <w:r w:rsidR="00A76B15">
        <w:rPr>
          <w:rFonts w:ascii="Times New Roman" w:eastAsia="Times New Roman" w:hAnsi="Times New Roman" w:cs="Times New Roman"/>
          <w:kern w:val="0"/>
          <w:sz w:val="24"/>
          <w:szCs w:val="24"/>
          <w:lang w:eastAsia="fr-FR"/>
          <w14:ligatures w14:val="none"/>
        </w:rPr>
        <w:t xml:space="preserve"> en fonction de </w:t>
      </w:r>
      <w:r w:rsidR="00B10714">
        <w:rPr>
          <w:rFonts w:ascii="Times New Roman" w:eastAsia="Times New Roman" w:hAnsi="Times New Roman" w:cs="Times New Roman"/>
          <w:kern w:val="0"/>
          <w:sz w:val="24"/>
          <w:szCs w:val="24"/>
          <w:lang w:eastAsia="fr-FR"/>
          <w14:ligatures w14:val="none"/>
        </w:rPr>
        <w:t>la filière qui les produit : industries agroalimentaires</w:t>
      </w:r>
      <w:r w:rsidR="00A76B15">
        <w:rPr>
          <w:rFonts w:ascii="Times New Roman" w:eastAsia="Times New Roman" w:hAnsi="Times New Roman" w:cs="Times New Roman"/>
          <w:kern w:val="0"/>
          <w:sz w:val="24"/>
          <w:szCs w:val="24"/>
          <w:lang w:eastAsia="fr-FR"/>
          <w14:ligatures w14:val="none"/>
        </w:rPr>
        <w:t xml:space="preserve">, collectivités, </w:t>
      </w:r>
      <w:r w:rsidR="00B10714">
        <w:rPr>
          <w:rFonts w:ascii="Times New Roman" w:eastAsia="Times New Roman" w:hAnsi="Times New Roman" w:cs="Times New Roman"/>
          <w:kern w:val="0"/>
          <w:sz w:val="24"/>
          <w:szCs w:val="24"/>
          <w:lang w:eastAsia="fr-FR"/>
          <w14:ligatures w14:val="none"/>
        </w:rPr>
        <w:t>exploitations agricoles</w:t>
      </w:r>
      <w:r w:rsidR="0023391C">
        <w:rPr>
          <w:rFonts w:ascii="Times New Roman" w:eastAsia="Times New Roman" w:hAnsi="Times New Roman" w:cs="Times New Roman"/>
          <w:kern w:val="0"/>
          <w:sz w:val="24"/>
          <w:szCs w:val="24"/>
          <w:lang w:eastAsia="fr-FR"/>
          <w14:ligatures w14:val="none"/>
        </w:rPr>
        <w:t xml:space="preserve">, etc.), </w:t>
      </w:r>
      <w:r w:rsidR="00A76B15">
        <w:rPr>
          <w:rFonts w:ascii="Times New Roman" w:eastAsia="Times New Roman" w:hAnsi="Times New Roman" w:cs="Times New Roman"/>
          <w:kern w:val="0"/>
          <w:sz w:val="24"/>
          <w:szCs w:val="24"/>
          <w:lang w:eastAsia="fr-FR"/>
          <w14:ligatures w14:val="none"/>
        </w:rPr>
        <w:t>d’autre part par potentiel méthanogène</w:t>
      </w:r>
      <w:r w:rsidR="00B10714">
        <w:rPr>
          <w:rFonts w:ascii="Times New Roman" w:eastAsia="Times New Roman" w:hAnsi="Times New Roman" w:cs="Times New Roman"/>
          <w:kern w:val="0"/>
          <w:sz w:val="24"/>
          <w:szCs w:val="24"/>
          <w:lang w:eastAsia="fr-FR"/>
          <w14:ligatures w14:val="none"/>
        </w:rPr>
        <w:t xml:space="preserve"> (BMP</w:t>
      </w:r>
      <w:r w:rsidR="00A76B15">
        <w:rPr>
          <w:rFonts w:ascii="Times New Roman" w:eastAsia="Times New Roman" w:hAnsi="Times New Roman" w:cs="Times New Roman"/>
          <w:kern w:val="0"/>
          <w:sz w:val="24"/>
          <w:szCs w:val="24"/>
          <w:lang w:eastAsia="fr-FR"/>
          <w14:ligatures w14:val="none"/>
        </w:rPr>
        <w:t>)</w:t>
      </w:r>
      <w:r w:rsidR="00B10714">
        <w:rPr>
          <w:rFonts w:ascii="Times New Roman" w:eastAsia="Times New Roman" w:hAnsi="Times New Roman" w:cs="Times New Roman"/>
          <w:kern w:val="0"/>
          <w:sz w:val="24"/>
          <w:szCs w:val="24"/>
          <w:lang w:eastAsia="fr-FR"/>
          <w14:ligatures w14:val="none"/>
        </w:rPr>
        <w:t xml:space="preserve"> exprimé en normo mètres cubes de méthane par unité de matière organique (Nm</w:t>
      </w:r>
      <w:r w:rsidR="00B10714" w:rsidRPr="00457F8A">
        <w:rPr>
          <w:rFonts w:ascii="Times New Roman" w:eastAsia="Times New Roman" w:hAnsi="Times New Roman" w:cs="Times New Roman"/>
          <w:kern w:val="0"/>
          <w:sz w:val="24"/>
          <w:szCs w:val="24"/>
          <w:vertAlign w:val="superscript"/>
          <w:lang w:eastAsia="fr-FR"/>
          <w14:ligatures w14:val="none"/>
        </w:rPr>
        <w:t xml:space="preserve">3 </w:t>
      </w:r>
      <w:r w:rsidR="00B10714">
        <w:rPr>
          <w:rFonts w:ascii="Times New Roman" w:eastAsia="Times New Roman" w:hAnsi="Times New Roman" w:cs="Times New Roman"/>
          <w:kern w:val="0"/>
          <w:sz w:val="24"/>
          <w:szCs w:val="24"/>
          <w:lang w:eastAsia="fr-FR"/>
          <w14:ligatures w14:val="none"/>
        </w:rPr>
        <w:t>CH</w:t>
      </w:r>
      <w:r w:rsidR="00B10714" w:rsidRPr="00457F8A">
        <w:rPr>
          <w:rFonts w:ascii="Times New Roman" w:eastAsia="Times New Roman" w:hAnsi="Times New Roman" w:cs="Times New Roman"/>
          <w:kern w:val="0"/>
          <w:sz w:val="24"/>
          <w:szCs w:val="24"/>
          <w:vertAlign w:val="subscript"/>
          <w:lang w:eastAsia="fr-FR"/>
          <w14:ligatures w14:val="none"/>
        </w:rPr>
        <w:t>4</w:t>
      </w:r>
      <w:r w:rsidR="00B10714">
        <w:rPr>
          <w:rFonts w:ascii="Times New Roman" w:eastAsia="Times New Roman" w:hAnsi="Times New Roman" w:cs="Times New Roman"/>
          <w:kern w:val="0"/>
          <w:sz w:val="24"/>
          <w:szCs w:val="24"/>
          <w:lang w:eastAsia="fr-FR"/>
          <w14:ligatures w14:val="none"/>
        </w:rPr>
        <w:t>/MO)</w:t>
      </w:r>
      <w:r w:rsidR="00A76B15">
        <w:rPr>
          <w:rFonts w:ascii="Times New Roman" w:eastAsia="Times New Roman" w:hAnsi="Times New Roman" w:cs="Times New Roman"/>
          <w:kern w:val="0"/>
          <w:sz w:val="24"/>
          <w:szCs w:val="24"/>
          <w:lang w:eastAsia="fr-FR"/>
          <w14:ligatures w14:val="none"/>
        </w:rPr>
        <w:t>.</w:t>
      </w:r>
    </w:p>
    <w:p w14:paraId="32D7B9D3" w14:textId="03AC58E5" w:rsidR="00A73752" w:rsidRDefault="00B10714" w:rsidP="00E854B7">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Cette liste</w:t>
      </w:r>
      <w:r w:rsidR="00A76B15">
        <w:rPr>
          <w:rFonts w:ascii="Times New Roman" w:eastAsia="Times New Roman" w:hAnsi="Times New Roman" w:cs="Times New Roman"/>
          <w:kern w:val="0"/>
          <w:sz w:val="24"/>
          <w:szCs w:val="24"/>
          <w:lang w:eastAsia="fr-FR"/>
          <w14:ligatures w14:val="none"/>
        </w:rPr>
        <w:t xml:space="preserve"> a été élaborée à</w:t>
      </w:r>
      <w:r w:rsidR="00741BCB">
        <w:rPr>
          <w:rFonts w:ascii="Times New Roman" w:eastAsia="Times New Roman" w:hAnsi="Times New Roman" w:cs="Times New Roman"/>
          <w:kern w:val="0"/>
          <w:sz w:val="24"/>
          <w:szCs w:val="24"/>
          <w:lang w:eastAsia="fr-FR"/>
          <w14:ligatures w14:val="none"/>
        </w:rPr>
        <w:t xml:space="preserve"> </w:t>
      </w:r>
      <w:r w:rsidR="00214B40">
        <w:rPr>
          <w:rFonts w:ascii="Times New Roman" w:eastAsia="Times New Roman" w:hAnsi="Times New Roman" w:cs="Times New Roman"/>
          <w:kern w:val="0"/>
          <w:sz w:val="24"/>
          <w:szCs w:val="24"/>
          <w:lang w:eastAsia="fr-FR"/>
          <w14:ligatures w14:val="none"/>
        </w:rPr>
        <w:t>partir des retours de plusieurs fournisseurs français (Air Liquide, Total, Enercoop, Save, etc.)</w:t>
      </w:r>
      <w:r w:rsidR="00EE1D18">
        <w:rPr>
          <w:rFonts w:ascii="Times New Roman" w:eastAsia="Times New Roman" w:hAnsi="Times New Roman" w:cs="Times New Roman"/>
          <w:kern w:val="0"/>
          <w:sz w:val="24"/>
          <w:szCs w:val="24"/>
          <w:lang w:eastAsia="fr-FR"/>
          <w14:ligatures w14:val="none"/>
        </w:rPr>
        <w:t xml:space="preserve">, </w:t>
      </w:r>
      <w:r w:rsidR="00214B40">
        <w:rPr>
          <w:rFonts w:ascii="Times New Roman" w:eastAsia="Times New Roman" w:hAnsi="Times New Roman" w:cs="Times New Roman"/>
          <w:kern w:val="0"/>
          <w:sz w:val="24"/>
          <w:szCs w:val="24"/>
          <w:lang w:eastAsia="fr-FR"/>
          <w14:ligatures w14:val="none"/>
        </w:rPr>
        <w:t>de compagnies</w:t>
      </w:r>
      <w:r w:rsidR="00A76B15">
        <w:rPr>
          <w:rFonts w:ascii="Times New Roman" w:eastAsia="Times New Roman" w:hAnsi="Times New Roman" w:cs="Times New Roman"/>
          <w:kern w:val="0"/>
          <w:sz w:val="24"/>
          <w:szCs w:val="24"/>
          <w:lang w:eastAsia="fr-FR"/>
          <w14:ligatures w14:val="none"/>
        </w:rPr>
        <w:t xml:space="preserve"> ou </w:t>
      </w:r>
      <w:r w:rsidR="00214B40">
        <w:rPr>
          <w:rFonts w:ascii="Times New Roman" w:eastAsia="Times New Roman" w:hAnsi="Times New Roman" w:cs="Times New Roman"/>
          <w:kern w:val="0"/>
          <w:sz w:val="24"/>
          <w:szCs w:val="24"/>
          <w:lang w:eastAsia="fr-FR"/>
          <w14:ligatures w14:val="none"/>
        </w:rPr>
        <w:t>organisations spécialistes du biométhane (</w:t>
      </w:r>
      <w:r w:rsidR="007B0EDD">
        <w:rPr>
          <w:rFonts w:ascii="Times New Roman" w:eastAsia="Times New Roman" w:hAnsi="Times New Roman" w:cs="Times New Roman"/>
          <w:kern w:val="0"/>
          <w:sz w:val="24"/>
          <w:szCs w:val="24"/>
          <w:lang w:eastAsia="fr-FR"/>
          <w14:ligatures w14:val="none"/>
        </w:rPr>
        <w:t xml:space="preserve">GRDF, </w:t>
      </w:r>
      <w:r w:rsidR="00214B40">
        <w:rPr>
          <w:rFonts w:ascii="Times New Roman" w:eastAsia="Times New Roman" w:hAnsi="Times New Roman" w:cs="Times New Roman"/>
          <w:kern w:val="0"/>
          <w:sz w:val="24"/>
          <w:szCs w:val="24"/>
          <w:lang w:eastAsia="fr-FR"/>
          <w14:ligatures w14:val="none"/>
        </w:rPr>
        <w:t>Solagro)</w:t>
      </w:r>
      <w:r w:rsidR="00EE1D18">
        <w:rPr>
          <w:rFonts w:ascii="Times New Roman" w:eastAsia="Times New Roman" w:hAnsi="Times New Roman" w:cs="Times New Roman"/>
          <w:kern w:val="0"/>
          <w:sz w:val="24"/>
          <w:szCs w:val="24"/>
          <w:lang w:eastAsia="fr-FR"/>
          <w14:ligatures w14:val="none"/>
        </w:rPr>
        <w:t xml:space="preserve"> et des listes actuelles d</w:t>
      </w:r>
      <w:r w:rsidR="00EE1D18" w:rsidRPr="00EE1D18">
        <w:rPr>
          <w:rFonts w:ascii="Times New Roman" w:eastAsia="Times New Roman" w:hAnsi="Times New Roman" w:cs="Times New Roman"/>
          <w:kern w:val="0"/>
          <w:sz w:val="24"/>
          <w:szCs w:val="24"/>
          <w:lang w:eastAsia="fr-FR"/>
          <w14:ligatures w14:val="none"/>
        </w:rPr>
        <w:t>’i</w:t>
      </w:r>
      <w:r w:rsidR="00EE1D18">
        <w:rPr>
          <w:rFonts w:ascii="Times New Roman" w:eastAsia="Times New Roman" w:hAnsi="Times New Roman" w:cs="Times New Roman"/>
          <w:kern w:val="0"/>
          <w:sz w:val="24"/>
          <w:szCs w:val="24"/>
          <w:lang w:eastAsia="fr-FR"/>
          <w14:ligatures w14:val="none"/>
        </w:rPr>
        <w:t xml:space="preserve">ntrants disponibles en France (ISCC, DIGES, MéthaSim, INRAE, Solagro, ABILE, Sys metha, </w:t>
      </w:r>
      <w:r w:rsidR="00EE1D18" w:rsidRPr="00EE1D18">
        <w:rPr>
          <w:rFonts w:ascii="Times New Roman" w:eastAsia="Times New Roman" w:hAnsi="Times New Roman" w:cs="Times New Roman"/>
          <w:kern w:val="0"/>
          <w:sz w:val="24"/>
          <w:szCs w:val="24"/>
          <w:lang w:eastAsia="fr-FR"/>
          <w14:ligatures w14:val="none"/>
        </w:rPr>
        <w:t>Stratégie Nationale de Mobilisation de la Biomasse</w:t>
      </w:r>
      <w:r w:rsidR="00EE1D18">
        <w:rPr>
          <w:rFonts w:ascii="Times New Roman" w:eastAsia="Times New Roman" w:hAnsi="Times New Roman" w:cs="Times New Roman"/>
          <w:kern w:val="0"/>
          <w:sz w:val="24"/>
          <w:szCs w:val="24"/>
          <w:lang w:eastAsia="fr-FR"/>
          <w14:ligatures w14:val="none"/>
        </w:rPr>
        <w:t xml:space="preserve"> - </w:t>
      </w:r>
      <w:r w:rsidR="00EE1D18" w:rsidRPr="00EE1D18">
        <w:rPr>
          <w:rFonts w:ascii="Times New Roman" w:eastAsia="Times New Roman" w:hAnsi="Times New Roman" w:cs="Times New Roman"/>
          <w:kern w:val="0"/>
          <w:sz w:val="24"/>
          <w:szCs w:val="24"/>
          <w:lang w:eastAsia="fr-FR"/>
          <w14:ligatures w14:val="none"/>
        </w:rPr>
        <w:t>Annexe</w:t>
      </w:r>
      <w:r w:rsidR="00303319">
        <w:rPr>
          <w:rFonts w:ascii="Times New Roman" w:eastAsia="Times New Roman" w:hAnsi="Times New Roman" w:cs="Times New Roman"/>
          <w:kern w:val="0"/>
          <w:sz w:val="24"/>
          <w:szCs w:val="24"/>
          <w:lang w:eastAsia="fr-FR"/>
          <w14:ligatures w14:val="none"/>
        </w:rPr>
        <w:t> </w:t>
      </w:r>
      <w:r w:rsidR="00EE1D18" w:rsidRPr="00EE1D18">
        <w:rPr>
          <w:rFonts w:ascii="Times New Roman" w:eastAsia="Times New Roman" w:hAnsi="Times New Roman" w:cs="Times New Roman"/>
          <w:kern w:val="0"/>
          <w:sz w:val="24"/>
          <w:szCs w:val="24"/>
          <w:lang w:eastAsia="fr-FR"/>
          <w14:ligatures w14:val="none"/>
        </w:rPr>
        <w:t>10)</w:t>
      </w:r>
      <w:r w:rsidR="00741BCB">
        <w:rPr>
          <w:rFonts w:ascii="Times New Roman" w:eastAsia="Times New Roman" w:hAnsi="Times New Roman" w:cs="Times New Roman"/>
          <w:kern w:val="0"/>
          <w:sz w:val="24"/>
          <w:szCs w:val="24"/>
          <w:lang w:eastAsia="fr-FR"/>
          <w14:ligatures w14:val="none"/>
        </w:rPr>
        <w:t>.</w:t>
      </w:r>
      <w:r w:rsidR="00214B40">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Elle</w:t>
      </w:r>
      <w:r w:rsidR="00741BCB">
        <w:rPr>
          <w:rFonts w:ascii="Times New Roman" w:eastAsia="Times New Roman" w:hAnsi="Times New Roman" w:cs="Times New Roman"/>
          <w:kern w:val="0"/>
          <w:sz w:val="24"/>
          <w:szCs w:val="24"/>
          <w:lang w:eastAsia="fr-FR"/>
          <w14:ligatures w14:val="none"/>
        </w:rPr>
        <w:t xml:space="preserve"> a ensuite été</w:t>
      </w:r>
      <w:r w:rsidR="00214B40">
        <w:rPr>
          <w:rFonts w:ascii="Times New Roman" w:eastAsia="Times New Roman" w:hAnsi="Times New Roman" w:cs="Times New Roman"/>
          <w:kern w:val="0"/>
          <w:sz w:val="24"/>
          <w:szCs w:val="24"/>
          <w:lang w:eastAsia="fr-FR"/>
          <w14:ligatures w14:val="none"/>
        </w:rPr>
        <w:t xml:space="preserve"> challengée lors de réunions avec plusieurs experts de la filière</w:t>
      </w:r>
      <w:r w:rsidR="00EE1D18">
        <w:rPr>
          <w:rFonts w:ascii="Times New Roman" w:eastAsia="Times New Roman" w:hAnsi="Times New Roman" w:cs="Times New Roman"/>
          <w:kern w:val="0"/>
          <w:sz w:val="24"/>
          <w:szCs w:val="24"/>
          <w:lang w:eastAsia="fr-FR"/>
          <w14:ligatures w14:val="none"/>
        </w:rPr>
        <w:t xml:space="preserve"> biométhane française</w:t>
      </w:r>
      <w:r w:rsidR="00741BCB">
        <w:rPr>
          <w:rFonts w:ascii="Times New Roman" w:eastAsia="Times New Roman" w:hAnsi="Times New Roman" w:cs="Times New Roman"/>
          <w:kern w:val="0"/>
          <w:sz w:val="24"/>
          <w:szCs w:val="24"/>
          <w:lang w:eastAsia="fr-FR"/>
          <w14:ligatures w14:val="none"/>
        </w:rPr>
        <w:t xml:space="preserve"> : </w:t>
      </w:r>
      <w:r w:rsidR="00214B40">
        <w:rPr>
          <w:rFonts w:ascii="Times New Roman" w:eastAsia="Times New Roman" w:hAnsi="Times New Roman" w:cs="Times New Roman"/>
          <w:kern w:val="0"/>
          <w:sz w:val="24"/>
          <w:szCs w:val="24"/>
          <w:lang w:eastAsia="fr-FR"/>
          <w14:ligatures w14:val="none"/>
        </w:rPr>
        <w:t>INRAE transfert, Solagro, GRDF, Association des Agriculteurs Méthaniseurs de France (AAMF), France Gaz Renouvelable</w:t>
      </w:r>
      <w:r w:rsidR="007B0EDD">
        <w:rPr>
          <w:rFonts w:ascii="Times New Roman" w:eastAsia="Times New Roman" w:hAnsi="Times New Roman" w:cs="Times New Roman"/>
          <w:kern w:val="0"/>
          <w:sz w:val="24"/>
          <w:szCs w:val="24"/>
          <w:lang w:eastAsia="fr-FR"/>
          <w14:ligatures w14:val="none"/>
        </w:rPr>
        <w:t>s</w:t>
      </w:r>
      <w:r w:rsidR="00214B40">
        <w:rPr>
          <w:rFonts w:ascii="Times New Roman" w:eastAsia="Times New Roman" w:hAnsi="Times New Roman" w:cs="Times New Roman"/>
          <w:kern w:val="0"/>
          <w:sz w:val="24"/>
          <w:szCs w:val="24"/>
          <w:lang w:eastAsia="fr-FR"/>
          <w14:ligatures w14:val="none"/>
        </w:rPr>
        <w:t xml:space="preserve"> (FGR), DIGES et des négociants d’intrants pour la méthanisation en France.</w:t>
      </w:r>
      <w:r w:rsidR="007825B3">
        <w:rPr>
          <w:rFonts w:ascii="Times New Roman" w:eastAsia="Times New Roman" w:hAnsi="Times New Roman" w:cs="Times New Roman"/>
          <w:kern w:val="0"/>
          <w:sz w:val="24"/>
          <w:szCs w:val="24"/>
          <w:lang w:eastAsia="fr-FR"/>
          <w14:ligatures w14:val="none"/>
        </w:rPr>
        <w:t xml:space="preserve"> </w:t>
      </w:r>
      <w:r w:rsidR="00A73752">
        <w:rPr>
          <w:rFonts w:ascii="Times New Roman" w:eastAsia="Times New Roman" w:hAnsi="Times New Roman" w:cs="Times New Roman"/>
          <w:kern w:val="0"/>
          <w:sz w:val="24"/>
          <w:szCs w:val="24"/>
          <w:lang w:eastAsia="fr-FR"/>
          <w14:ligatures w14:val="none"/>
        </w:rPr>
        <w:t>Les intrants ont été regroupés de sorte de ne pas dépasser une centaine de catégories.</w:t>
      </w:r>
    </w:p>
    <w:p w14:paraId="347B570A" w14:textId="4AF026CD" w:rsidR="00724E97" w:rsidRPr="007825B3" w:rsidRDefault="000023E3" w:rsidP="00EE1D18">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Pour attribuer une valeur de référence à une catégorie, une revue bibliographique a été menée et des</w:t>
      </w:r>
      <w:r w:rsidRPr="000023E3">
        <w:rPr>
          <w:rFonts w:ascii="Times New Roman" w:eastAsia="Times New Roman" w:hAnsi="Times New Roman" w:cs="Times New Roman"/>
          <w:kern w:val="0"/>
          <w:sz w:val="24"/>
          <w:szCs w:val="24"/>
          <w:lang w:eastAsia="fr-FR"/>
          <w14:ligatures w14:val="none"/>
        </w:rPr>
        <w:t xml:space="preserve"> valeurs expérimentales</w:t>
      </w:r>
      <w:r w:rsidR="004937CF">
        <w:rPr>
          <w:rFonts w:ascii="Times New Roman" w:eastAsia="Times New Roman" w:hAnsi="Times New Roman" w:cs="Times New Roman"/>
          <w:kern w:val="0"/>
          <w:sz w:val="24"/>
          <w:szCs w:val="24"/>
          <w:lang w:eastAsia="fr-FR"/>
          <w14:ligatures w14:val="none"/>
        </w:rPr>
        <w:t xml:space="preserve"> ont été collectées </w:t>
      </w:r>
      <w:r w:rsidR="00247C25">
        <w:rPr>
          <w:rFonts w:ascii="Times New Roman" w:eastAsia="Times New Roman" w:hAnsi="Times New Roman" w:cs="Times New Roman"/>
          <w:kern w:val="0"/>
          <w:sz w:val="24"/>
          <w:szCs w:val="24"/>
          <w:lang w:eastAsia="fr-FR"/>
          <w14:ligatures w14:val="none"/>
        </w:rPr>
        <w:t>auprès de producteurs et du laboratoire Innolab, également en charge de la partie statistique de ce travail.</w:t>
      </w:r>
      <w:r>
        <w:rPr>
          <w:rFonts w:ascii="Times New Roman" w:eastAsia="Times New Roman" w:hAnsi="Times New Roman" w:cs="Times New Roman"/>
          <w:kern w:val="0"/>
          <w:sz w:val="24"/>
          <w:szCs w:val="24"/>
          <w:lang w:eastAsia="fr-FR"/>
          <w14:ligatures w14:val="none"/>
        </w:rPr>
        <w:t xml:space="preserve"> </w:t>
      </w:r>
      <w:r w:rsidRPr="000023E3">
        <w:rPr>
          <w:rFonts w:ascii="Times New Roman" w:eastAsia="Times New Roman" w:hAnsi="Times New Roman" w:cs="Times New Roman"/>
          <w:kern w:val="0"/>
          <w:sz w:val="24"/>
          <w:szCs w:val="24"/>
          <w:lang w:eastAsia="fr-FR"/>
          <w14:ligatures w14:val="none"/>
        </w:rPr>
        <w:t>Pour être représentati</w:t>
      </w:r>
      <w:r>
        <w:rPr>
          <w:rFonts w:ascii="Times New Roman" w:eastAsia="Times New Roman" w:hAnsi="Times New Roman" w:cs="Times New Roman"/>
          <w:kern w:val="0"/>
          <w:sz w:val="24"/>
          <w:szCs w:val="24"/>
          <w:lang w:eastAsia="fr-FR"/>
          <w14:ligatures w14:val="none"/>
        </w:rPr>
        <w:t>ve</w:t>
      </w:r>
      <w:r w:rsidRPr="000023E3">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 xml:space="preserve">la valeur de référence </w:t>
      </w:r>
      <w:r w:rsidR="004937CF">
        <w:rPr>
          <w:rFonts w:ascii="Times New Roman" w:eastAsia="Times New Roman" w:hAnsi="Times New Roman" w:cs="Times New Roman"/>
          <w:kern w:val="0"/>
          <w:sz w:val="24"/>
          <w:szCs w:val="24"/>
          <w:lang w:eastAsia="fr-FR"/>
          <w14:ligatures w14:val="none"/>
        </w:rPr>
        <w:t>d’une catégorie</w:t>
      </w:r>
      <w:r>
        <w:rPr>
          <w:rFonts w:ascii="Times New Roman" w:eastAsia="Times New Roman" w:hAnsi="Times New Roman" w:cs="Times New Roman"/>
          <w:kern w:val="0"/>
          <w:sz w:val="24"/>
          <w:szCs w:val="24"/>
          <w:lang w:eastAsia="fr-FR"/>
          <w14:ligatures w14:val="none"/>
        </w:rPr>
        <w:t xml:space="preserve"> doit être la moyenne d’au moins 50 valeurs</w:t>
      </w:r>
      <w:r w:rsidRPr="000023E3">
        <w:rPr>
          <w:rFonts w:ascii="Times New Roman" w:eastAsia="Times New Roman" w:hAnsi="Times New Roman" w:cs="Times New Roman"/>
          <w:kern w:val="0"/>
          <w:sz w:val="24"/>
          <w:szCs w:val="24"/>
          <w:lang w:eastAsia="fr-FR"/>
          <w14:ligatures w14:val="none"/>
        </w:rPr>
        <w:t xml:space="preserve">. </w:t>
      </w:r>
      <w:r w:rsidR="00247C25">
        <w:rPr>
          <w:rFonts w:ascii="Times New Roman" w:eastAsia="Times New Roman" w:hAnsi="Times New Roman" w:cs="Times New Roman"/>
          <w:kern w:val="0"/>
          <w:sz w:val="24"/>
          <w:szCs w:val="24"/>
          <w:lang w:eastAsia="fr-FR"/>
          <w14:ligatures w14:val="none"/>
        </w:rPr>
        <w:t xml:space="preserve">Dans ce cas, </w:t>
      </w:r>
      <w:r w:rsidR="00247C25" w:rsidRPr="00AF211A">
        <w:rPr>
          <w:rFonts w:ascii="Times New Roman" w:eastAsia="Times New Roman" w:hAnsi="Times New Roman" w:cs="Times New Roman"/>
          <w:kern w:val="0"/>
          <w:sz w:val="24"/>
          <w:szCs w:val="24"/>
          <w:lang w:eastAsia="fr-FR"/>
          <w14:ligatures w14:val="none"/>
        </w:rPr>
        <w:t>une moyenne</w:t>
      </w:r>
      <w:r w:rsidR="00247C25">
        <w:rPr>
          <w:rFonts w:ascii="Times New Roman" w:eastAsia="Times New Roman" w:hAnsi="Times New Roman" w:cs="Times New Roman"/>
          <w:kern w:val="0"/>
          <w:sz w:val="24"/>
          <w:szCs w:val="24"/>
          <w:lang w:eastAsia="fr-FR"/>
          <w14:ligatures w14:val="none"/>
        </w:rPr>
        <w:t xml:space="preserve"> arithmétique</w:t>
      </w:r>
      <w:r w:rsidR="00247C25" w:rsidRPr="00AF211A">
        <w:rPr>
          <w:rFonts w:ascii="Times New Roman" w:eastAsia="Times New Roman" w:hAnsi="Times New Roman" w:cs="Times New Roman"/>
          <w:kern w:val="0"/>
          <w:sz w:val="24"/>
          <w:szCs w:val="24"/>
          <w:lang w:eastAsia="fr-FR"/>
          <w14:ligatures w14:val="none"/>
        </w:rPr>
        <w:t xml:space="preserve"> </w:t>
      </w:r>
      <w:r w:rsidR="00247C25">
        <w:rPr>
          <w:rFonts w:ascii="Times New Roman" w:eastAsia="Times New Roman" w:hAnsi="Times New Roman" w:cs="Times New Roman"/>
          <w:kern w:val="0"/>
          <w:sz w:val="24"/>
          <w:szCs w:val="24"/>
          <w:lang w:eastAsia="fr-FR"/>
          <w14:ligatures w14:val="none"/>
        </w:rPr>
        <w:t>est calculée</w:t>
      </w:r>
      <w:r w:rsidR="00247C25" w:rsidRPr="00AF211A">
        <w:rPr>
          <w:rFonts w:ascii="Times New Roman" w:eastAsia="Times New Roman" w:hAnsi="Times New Roman" w:cs="Times New Roman"/>
          <w:kern w:val="0"/>
          <w:sz w:val="24"/>
          <w:szCs w:val="24"/>
          <w:lang w:eastAsia="fr-FR"/>
          <w14:ligatures w14:val="none"/>
        </w:rPr>
        <w:t xml:space="preserve"> </w:t>
      </w:r>
      <w:r w:rsidR="00247C25">
        <w:rPr>
          <w:rFonts w:ascii="Times New Roman" w:eastAsia="Times New Roman" w:hAnsi="Times New Roman" w:cs="Times New Roman"/>
          <w:kern w:val="0"/>
          <w:sz w:val="24"/>
          <w:szCs w:val="24"/>
          <w:lang w:eastAsia="fr-FR"/>
          <w14:ligatures w14:val="none"/>
        </w:rPr>
        <w:t xml:space="preserve">à partir de la </w:t>
      </w:r>
      <w:r w:rsidR="00247C25" w:rsidRPr="00AF211A">
        <w:rPr>
          <w:rFonts w:ascii="Times New Roman" w:eastAsia="Times New Roman" w:hAnsi="Times New Roman" w:cs="Times New Roman"/>
          <w:kern w:val="0"/>
          <w:sz w:val="24"/>
          <w:szCs w:val="24"/>
          <w:lang w:eastAsia="fr-FR"/>
          <w14:ligatures w14:val="none"/>
        </w:rPr>
        <w:t xml:space="preserve">gaussienne </w:t>
      </w:r>
      <w:r w:rsidR="00247C25">
        <w:rPr>
          <w:rFonts w:ascii="Times New Roman" w:eastAsia="Times New Roman" w:hAnsi="Times New Roman" w:cs="Times New Roman"/>
          <w:kern w:val="0"/>
          <w:sz w:val="24"/>
          <w:szCs w:val="24"/>
          <w:lang w:eastAsia="fr-FR"/>
          <w14:ligatures w14:val="none"/>
        </w:rPr>
        <w:t xml:space="preserve">tronquée (P90-P10 pour une gaussienne </w:t>
      </w:r>
      <w:r w:rsidR="00247C25">
        <w:rPr>
          <w:rFonts w:ascii="Times New Roman" w:eastAsia="Times New Roman" w:hAnsi="Times New Roman" w:cs="Times New Roman"/>
          <w:kern w:val="0"/>
          <w:sz w:val="24"/>
          <w:szCs w:val="24"/>
          <w:lang w:eastAsia="fr-FR"/>
          <w14:ligatures w14:val="none"/>
        </w:rPr>
        <w:lastRenderedPageBreak/>
        <w:t>normale)</w:t>
      </w:r>
      <w:r w:rsidR="00247C25" w:rsidRPr="00AF211A">
        <w:rPr>
          <w:rFonts w:ascii="Times New Roman" w:eastAsia="Times New Roman" w:hAnsi="Times New Roman" w:cs="Times New Roman"/>
          <w:kern w:val="0"/>
          <w:sz w:val="24"/>
          <w:szCs w:val="24"/>
          <w:lang w:eastAsia="fr-FR"/>
          <w14:ligatures w14:val="none"/>
        </w:rPr>
        <w:t xml:space="preserve">. </w:t>
      </w:r>
      <w:r w:rsidRPr="000023E3">
        <w:rPr>
          <w:rFonts w:ascii="Times New Roman" w:eastAsia="Times New Roman" w:hAnsi="Times New Roman" w:cs="Times New Roman"/>
          <w:kern w:val="0"/>
          <w:sz w:val="24"/>
          <w:szCs w:val="24"/>
          <w:lang w:eastAsia="fr-FR"/>
          <w14:ligatures w14:val="none"/>
        </w:rPr>
        <w:t>Si l’échantillon est trop petit, la valeur utilisée par défaut sera la moyenne des valeurs BMP de MéthaSim</w:t>
      </w:r>
      <w:r>
        <w:rPr>
          <w:rFonts w:ascii="Times New Roman" w:eastAsia="Times New Roman" w:hAnsi="Times New Roman" w:cs="Times New Roman"/>
          <w:kern w:val="0"/>
          <w:sz w:val="24"/>
          <w:szCs w:val="24"/>
          <w:lang w:eastAsia="fr-FR"/>
          <w14:ligatures w14:val="none"/>
        </w:rPr>
        <w:t>, base de données la plus exhaustive à l’heure actuelle</w:t>
      </w:r>
      <w:r w:rsidR="004937CF">
        <w:rPr>
          <w:rStyle w:val="Appelnotedebasdep"/>
          <w:rFonts w:ascii="Times New Roman" w:eastAsia="Times New Roman" w:hAnsi="Times New Roman" w:cs="Times New Roman"/>
          <w:kern w:val="0"/>
          <w:sz w:val="24"/>
          <w:szCs w:val="24"/>
          <w:lang w:eastAsia="fr-FR"/>
          <w14:ligatures w14:val="none"/>
        </w:rPr>
        <w:footnoteReference w:id="1"/>
      </w:r>
      <w:r w:rsidRPr="000023E3">
        <w:rPr>
          <w:rFonts w:ascii="Times New Roman" w:eastAsia="Times New Roman" w:hAnsi="Times New Roman" w:cs="Times New Roman"/>
          <w:kern w:val="0"/>
          <w:sz w:val="24"/>
          <w:szCs w:val="24"/>
          <w:lang w:eastAsia="fr-FR"/>
          <w14:ligatures w14:val="none"/>
        </w:rPr>
        <w:t xml:space="preserve">. Si l’échantillon contient moins de 50 valeurs et qu’aucune valeur MéthaSim n’est disponible, alors la valeur Innolab </w:t>
      </w:r>
      <w:r>
        <w:rPr>
          <w:rFonts w:ascii="Times New Roman" w:eastAsia="Times New Roman" w:hAnsi="Times New Roman" w:cs="Times New Roman"/>
          <w:kern w:val="0"/>
          <w:sz w:val="24"/>
          <w:szCs w:val="24"/>
          <w:lang w:eastAsia="fr-FR"/>
          <w14:ligatures w14:val="none"/>
        </w:rPr>
        <w:t xml:space="preserve">est indiquée </w:t>
      </w:r>
      <w:r w:rsidR="004937CF">
        <w:rPr>
          <w:rFonts w:ascii="Times New Roman" w:eastAsia="Times New Roman" w:hAnsi="Times New Roman" w:cs="Times New Roman"/>
          <w:kern w:val="0"/>
          <w:sz w:val="24"/>
          <w:szCs w:val="24"/>
          <w:lang w:eastAsia="fr-FR"/>
          <w14:ligatures w14:val="none"/>
        </w:rPr>
        <w:t>mais</w:t>
      </w:r>
      <w:r>
        <w:rPr>
          <w:rFonts w:ascii="Times New Roman" w:eastAsia="Times New Roman" w:hAnsi="Times New Roman" w:cs="Times New Roman"/>
          <w:kern w:val="0"/>
          <w:sz w:val="24"/>
          <w:szCs w:val="24"/>
          <w:lang w:eastAsia="fr-FR"/>
          <w14:ligatures w14:val="none"/>
        </w:rPr>
        <w:t xml:space="preserve"> notée comme </w:t>
      </w:r>
      <w:r w:rsidRPr="000023E3">
        <w:rPr>
          <w:rFonts w:ascii="Times New Roman" w:eastAsia="Times New Roman" w:hAnsi="Times New Roman" w:cs="Times New Roman"/>
          <w:kern w:val="0"/>
          <w:sz w:val="24"/>
          <w:szCs w:val="24"/>
          <w:lang w:eastAsia="fr-FR"/>
          <w14:ligatures w14:val="none"/>
        </w:rPr>
        <w:t>no</w:t>
      </w:r>
      <w:r>
        <w:rPr>
          <w:rFonts w:ascii="Times New Roman" w:eastAsia="Times New Roman" w:hAnsi="Times New Roman" w:cs="Times New Roman"/>
          <w:kern w:val="0"/>
          <w:sz w:val="24"/>
          <w:szCs w:val="24"/>
          <w:lang w:eastAsia="fr-FR"/>
          <w14:ligatures w14:val="none"/>
        </w:rPr>
        <w:t>n représentative.</w:t>
      </w:r>
      <w:r w:rsidR="00247C25">
        <w:rPr>
          <w:rFonts w:ascii="Times New Roman" w:eastAsia="Times New Roman" w:hAnsi="Times New Roman" w:cs="Times New Roman"/>
          <w:kern w:val="0"/>
          <w:sz w:val="24"/>
          <w:szCs w:val="24"/>
          <w:lang w:eastAsia="fr-FR"/>
          <w14:ligatures w14:val="none"/>
        </w:rPr>
        <w:t xml:space="preserve"> </w:t>
      </w:r>
      <w:r w:rsidR="00E854B7">
        <w:rPr>
          <w:rFonts w:ascii="Times New Roman" w:eastAsia="Times New Roman" w:hAnsi="Times New Roman" w:cs="Times New Roman"/>
          <w:kern w:val="0"/>
          <w:sz w:val="24"/>
          <w:szCs w:val="24"/>
          <w:lang w:eastAsia="fr-FR"/>
          <w14:ligatures w14:val="none"/>
        </w:rPr>
        <w:t>Pour assurer une certaine cohérence au sein d’</w:t>
      </w:r>
      <w:r w:rsidR="00247C25">
        <w:rPr>
          <w:rFonts w:ascii="Times New Roman" w:eastAsia="Times New Roman" w:hAnsi="Times New Roman" w:cs="Times New Roman"/>
          <w:kern w:val="0"/>
          <w:sz w:val="24"/>
          <w:szCs w:val="24"/>
          <w:lang w:eastAsia="fr-FR"/>
          <w14:ligatures w14:val="none"/>
        </w:rPr>
        <w:t xml:space="preserve">une catégorie </w:t>
      </w:r>
      <w:r w:rsidR="00E854B7">
        <w:rPr>
          <w:rFonts w:ascii="Times New Roman" w:eastAsia="Times New Roman" w:hAnsi="Times New Roman" w:cs="Times New Roman"/>
          <w:kern w:val="0"/>
          <w:sz w:val="24"/>
          <w:szCs w:val="24"/>
          <w:lang w:eastAsia="fr-FR"/>
          <w14:ligatures w14:val="none"/>
        </w:rPr>
        <w:t>d’intrants, les valeurs des intrants ne doivent pas différer de plus de 20 % du BMP moyen du groupe.</w:t>
      </w:r>
    </w:p>
    <w:p w14:paraId="3E022C39" w14:textId="600F7B0A" w:rsidR="00214B40" w:rsidRPr="00724E97" w:rsidRDefault="00214B40" w:rsidP="00724E97">
      <w:pPr>
        <w:pStyle w:val="Paragraphedeliste"/>
        <w:numPr>
          <w:ilvl w:val="0"/>
          <w:numId w:val="5"/>
        </w:num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r w:rsidRPr="00724E97">
        <w:rPr>
          <w:rFonts w:ascii="Times New Roman" w:eastAsia="Times New Roman" w:hAnsi="Times New Roman" w:cs="Times New Roman"/>
          <w:b/>
          <w:bCs/>
          <w:kern w:val="0"/>
          <w:sz w:val="24"/>
          <w:szCs w:val="24"/>
          <w:lang w:eastAsia="fr-FR"/>
          <w14:ligatures w14:val="none"/>
        </w:rPr>
        <w:t>Correspondance avec les classements français existants et des schémas volontaires européens</w:t>
      </w:r>
      <w:r w:rsidR="00EE1D18" w:rsidRPr="00724E97">
        <w:rPr>
          <w:rFonts w:ascii="Times New Roman" w:eastAsia="Times New Roman" w:hAnsi="Times New Roman" w:cs="Times New Roman"/>
          <w:b/>
          <w:bCs/>
          <w:kern w:val="0"/>
          <w:sz w:val="24"/>
          <w:szCs w:val="24"/>
          <w:lang w:eastAsia="fr-FR"/>
          <w14:ligatures w14:val="none"/>
        </w:rPr>
        <w:t xml:space="preserve"> </w:t>
      </w:r>
    </w:p>
    <w:p w14:paraId="0A0A08D9" w14:textId="07147661" w:rsidR="00214B40" w:rsidRDefault="00D15387" w:rsidP="007825B3">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Dans le tableur mis à disposition, </w:t>
      </w:r>
      <w:r w:rsidR="007B0EDD">
        <w:rPr>
          <w:rFonts w:ascii="Times New Roman" w:eastAsia="Times New Roman" w:hAnsi="Times New Roman" w:cs="Times New Roman"/>
          <w:kern w:val="0"/>
          <w:sz w:val="24"/>
          <w:szCs w:val="24"/>
          <w:lang w:eastAsia="fr-FR"/>
          <w14:ligatures w14:val="none"/>
        </w:rPr>
        <w:t>cette nouvelle typologie</w:t>
      </w:r>
      <w:r w:rsidR="00EE1D18">
        <w:rPr>
          <w:rFonts w:ascii="Times New Roman" w:eastAsia="Times New Roman" w:hAnsi="Times New Roman" w:cs="Times New Roman"/>
          <w:kern w:val="0"/>
          <w:sz w:val="24"/>
          <w:szCs w:val="24"/>
          <w:lang w:eastAsia="fr-FR"/>
          <w14:ligatures w14:val="none"/>
        </w:rPr>
        <w:t xml:space="preserve"> français</w:t>
      </w:r>
      <w:r w:rsidR="007B0EDD">
        <w:rPr>
          <w:rFonts w:ascii="Times New Roman" w:eastAsia="Times New Roman" w:hAnsi="Times New Roman" w:cs="Times New Roman"/>
          <w:kern w:val="0"/>
          <w:sz w:val="24"/>
          <w:szCs w:val="24"/>
          <w:lang w:eastAsia="fr-FR"/>
          <w14:ligatures w14:val="none"/>
        </w:rPr>
        <w:t>e</w:t>
      </w:r>
      <w:r w:rsidR="00EE1D18">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 xml:space="preserve">a été comparée aux catégories d’intrants suivantes, </w:t>
      </w:r>
      <w:r w:rsidR="00DB7367">
        <w:rPr>
          <w:rFonts w:ascii="Times New Roman" w:eastAsia="Times New Roman" w:hAnsi="Times New Roman" w:cs="Times New Roman"/>
          <w:kern w:val="0"/>
          <w:sz w:val="24"/>
          <w:szCs w:val="24"/>
          <w:lang w:eastAsia="fr-FR"/>
          <w14:ligatures w14:val="none"/>
        </w:rPr>
        <w:t>grâce à</w:t>
      </w:r>
      <w:r>
        <w:rPr>
          <w:rFonts w:ascii="Times New Roman" w:eastAsia="Times New Roman" w:hAnsi="Times New Roman" w:cs="Times New Roman"/>
          <w:kern w:val="0"/>
          <w:sz w:val="24"/>
          <w:szCs w:val="24"/>
          <w:lang w:eastAsia="fr-FR"/>
          <w14:ligatures w14:val="none"/>
        </w:rPr>
        <w:t xml:space="preserve"> l’appui d’</w:t>
      </w:r>
      <w:r w:rsidR="00EE1D18">
        <w:rPr>
          <w:rFonts w:ascii="Times New Roman" w:eastAsia="Times New Roman" w:hAnsi="Times New Roman" w:cs="Times New Roman"/>
          <w:kern w:val="0"/>
          <w:sz w:val="24"/>
          <w:szCs w:val="24"/>
          <w:lang w:eastAsia="fr-FR"/>
          <w14:ligatures w14:val="none"/>
        </w:rPr>
        <w:t>experts de la filière biométhane française (INRAE transfert, Solagro, GRDF, AAMF, FGR, DIGES) et des auditeurs de schémas volontaires européens</w:t>
      </w:r>
      <w:r>
        <w:rPr>
          <w:rFonts w:ascii="Times New Roman" w:eastAsia="Times New Roman" w:hAnsi="Times New Roman" w:cs="Times New Roman"/>
          <w:kern w:val="0"/>
          <w:sz w:val="24"/>
          <w:szCs w:val="24"/>
          <w:lang w:eastAsia="fr-FR"/>
          <w14:ligatures w14:val="none"/>
        </w:rPr>
        <w:t xml:space="preserve"> </w:t>
      </w:r>
      <w:r w:rsidR="00EE1D18">
        <w:rPr>
          <w:rFonts w:ascii="Times New Roman" w:eastAsia="Times New Roman" w:hAnsi="Times New Roman" w:cs="Times New Roman"/>
          <w:kern w:val="0"/>
          <w:sz w:val="24"/>
          <w:szCs w:val="24"/>
          <w:lang w:eastAsia="fr-FR"/>
          <w14:ligatures w14:val="none"/>
        </w:rPr>
        <w:t>:</w:t>
      </w:r>
    </w:p>
    <w:p w14:paraId="6A07847B" w14:textId="6556C987" w:rsidR="00EE1D18" w:rsidRPr="00736AA8" w:rsidRDefault="00EE1D18" w:rsidP="007825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36AA8">
        <w:rPr>
          <w:rFonts w:ascii="Times New Roman" w:eastAsia="Times New Roman" w:hAnsi="Times New Roman" w:cs="Times New Roman"/>
          <w:kern w:val="0"/>
          <w:sz w:val="24"/>
          <w:szCs w:val="24"/>
          <w:lang w:eastAsia="fr-FR"/>
          <w14:ligatures w14:val="none"/>
        </w:rPr>
        <w:t xml:space="preserve">RED II </w:t>
      </w:r>
      <w:r>
        <w:rPr>
          <w:rFonts w:ascii="Times New Roman" w:eastAsia="Times New Roman" w:hAnsi="Times New Roman" w:cs="Times New Roman"/>
          <w:kern w:val="0"/>
          <w:sz w:val="24"/>
          <w:szCs w:val="24"/>
          <w:lang w:eastAsia="fr-FR"/>
          <w14:ligatures w14:val="none"/>
        </w:rPr>
        <w:t xml:space="preserve">- </w:t>
      </w:r>
      <w:r w:rsidRPr="00736AA8">
        <w:rPr>
          <w:rFonts w:ascii="Times New Roman" w:eastAsia="Times New Roman" w:hAnsi="Times New Roman" w:cs="Times New Roman"/>
          <w:kern w:val="0"/>
          <w:sz w:val="24"/>
          <w:szCs w:val="24"/>
          <w:lang w:eastAsia="fr-FR"/>
          <w14:ligatures w14:val="none"/>
        </w:rPr>
        <w:t>Annexe IX</w:t>
      </w:r>
      <w:r w:rsidR="00AF211A">
        <w:rPr>
          <w:rFonts w:ascii="Times New Roman" w:eastAsia="Times New Roman" w:hAnsi="Times New Roman" w:cs="Times New Roman"/>
          <w:kern w:val="0"/>
          <w:sz w:val="24"/>
          <w:szCs w:val="24"/>
          <w:lang w:eastAsia="fr-FR"/>
          <w14:ligatures w14:val="none"/>
        </w:rPr>
        <w:t> ;</w:t>
      </w:r>
    </w:p>
    <w:p w14:paraId="659F2EC9" w14:textId="2586E508" w:rsidR="00EE1D18" w:rsidRPr="00736AA8" w:rsidRDefault="00EE1D18" w:rsidP="007825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736AA8">
        <w:rPr>
          <w:rFonts w:ascii="Times New Roman" w:eastAsia="Times New Roman" w:hAnsi="Times New Roman" w:cs="Times New Roman"/>
          <w:kern w:val="0"/>
          <w:sz w:val="24"/>
          <w:szCs w:val="24"/>
          <w:lang w:eastAsia="fr-FR"/>
          <w14:ligatures w14:val="none"/>
        </w:rPr>
        <w:t>ISCC</w:t>
      </w:r>
      <w:r>
        <w:rPr>
          <w:rFonts w:ascii="Times New Roman" w:eastAsia="Times New Roman" w:hAnsi="Times New Roman" w:cs="Times New Roman"/>
          <w:kern w:val="0"/>
          <w:sz w:val="24"/>
          <w:szCs w:val="24"/>
          <w:lang w:eastAsia="fr-FR"/>
          <w14:ligatures w14:val="none"/>
        </w:rPr>
        <w:t xml:space="preserve"> material list</w:t>
      </w:r>
      <w:r w:rsidR="00AF211A">
        <w:rPr>
          <w:rFonts w:ascii="Times New Roman" w:eastAsia="Times New Roman" w:hAnsi="Times New Roman" w:cs="Times New Roman"/>
          <w:kern w:val="0"/>
          <w:sz w:val="24"/>
          <w:szCs w:val="24"/>
          <w:lang w:eastAsia="fr-FR"/>
          <w14:ligatures w14:val="none"/>
        </w:rPr>
        <w:t> ;</w:t>
      </w:r>
    </w:p>
    <w:p w14:paraId="26D2C005" w14:textId="203E900F" w:rsidR="00EE1D18" w:rsidRDefault="00EE1D18" w:rsidP="007825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Liste des c</w:t>
      </w:r>
      <w:r w:rsidRPr="00736AA8">
        <w:rPr>
          <w:rFonts w:ascii="Times New Roman" w:eastAsia="Times New Roman" w:hAnsi="Times New Roman" w:cs="Times New Roman"/>
          <w:kern w:val="0"/>
          <w:sz w:val="24"/>
          <w:szCs w:val="24"/>
          <w:lang w:eastAsia="fr-FR"/>
          <w14:ligatures w14:val="none"/>
        </w:rPr>
        <w:t xml:space="preserve">atégories identifiées </w:t>
      </w:r>
      <w:r>
        <w:rPr>
          <w:rFonts w:ascii="Times New Roman" w:eastAsia="Times New Roman" w:hAnsi="Times New Roman" w:cs="Times New Roman"/>
          <w:kern w:val="0"/>
          <w:sz w:val="24"/>
          <w:szCs w:val="24"/>
          <w:lang w:eastAsia="fr-FR"/>
          <w14:ligatures w14:val="none"/>
        </w:rPr>
        <w:t xml:space="preserve">par la DEGC </w:t>
      </w:r>
      <w:r w:rsidRPr="00736AA8">
        <w:rPr>
          <w:rFonts w:ascii="Times New Roman" w:eastAsia="Times New Roman" w:hAnsi="Times New Roman" w:cs="Times New Roman"/>
          <w:kern w:val="0"/>
          <w:sz w:val="24"/>
          <w:szCs w:val="24"/>
          <w:lang w:eastAsia="fr-FR"/>
          <w14:ligatures w14:val="none"/>
        </w:rPr>
        <w:t xml:space="preserve">pour les </w:t>
      </w:r>
      <w:r w:rsidR="00AF211A" w:rsidRPr="00AF211A">
        <w:rPr>
          <w:rFonts w:ascii="Times New Roman" w:eastAsia="Times New Roman" w:hAnsi="Times New Roman" w:cs="Times New Roman"/>
          <w:i/>
          <w:iCs/>
          <w:kern w:val="0"/>
          <w:sz w:val="24"/>
          <w:szCs w:val="24"/>
          <w:lang w:eastAsia="fr-FR"/>
          <w14:ligatures w14:val="none"/>
        </w:rPr>
        <w:t>Déclaration d'intrants, de durabilité et de réduction des émissions de gaz à effet de serre</w:t>
      </w:r>
      <w:r w:rsidR="00AF211A" w:rsidRPr="00AF211A">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 xml:space="preserve">(issue de la </w:t>
      </w:r>
      <w:r w:rsidRPr="00EE1D18">
        <w:rPr>
          <w:rFonts w:ascii="Times New Roman" w:eastAsia="Times New Roman" w:hAnsi="Times New Roman" w:cs="Times New Roman"/>
          <w:kern w:val="0"/>
          <w:sz w:val="24"/>
          <w:szCs w:val="24"/>
          <w:lang w:eastAsia="fr-FR"/>
          <w14:ligatures w14:val="none"/>
        </w:rPr>
        <w:t>Stratégie Nationale de Mobilisation de la Biomasse</w:t>
      </w:r>
      <w:r>
        <w:rPr>
          <w:rFonts w:ascii="Times New Roman" w:eastAsia="Times New Roman" w:hAnsi="Times New Roman" w:cs="Times New Roman"/>
          <w:kern w:val="0"/>
          <w:sz w:val="24"/>
          <w:szCs w:val="24"/>
          <w:lang w:eastAsia="fr-FR"/>
          <w14:ligatures w14:val="none"/>
        </w:rPr>
        <w:t xml:space="preserve"> - </w:t>
      </w:r>
      <w:r w:rsidRPr="00EE1D18">
        <w:rPr>
          <w:rFonts w:ascii="Times New Roman" w:eastAsia="Times New Roman" w:hAnsi="Times New Roman" w:cs="Times New Roman"/>
          <w:kern w:val="0"/>
          <w:sz w:val="24"/>
          <w:szCs w:val="24"/>
          <w:lang w:eastAsia="fr-FR"/>
          <w14:ligatures w14:val="none"/>
        </w:rPr>
        <w:t>Annexe 10</w:t>
      </w:r>
      <w:r w:rsidRPr="00736AA8">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 xml:space="preserve">– cependant la DGEC pourrait revoir sa copie et accepter d’utiliser la </w:t>
      </w:r>
      <w:r w:rsidR="007B0EDD">
        <w:rPr>
          <w:rFonts w:ascii="Times New Roman" w:eastAsia="Times New Roman" w:hAnsi="Times New Roman" w:cs="Times New Roman"/>
          <w:kern w:val="0"/>
          <w:sz w:val="24"/>
          <w:szCs w:val="24"/>
          <w:lang w:eastAsia="fr-FR"/>
          <w14:ligatures w14:val="none"/>
        </w:rPr>
        <w:t>nouvelle typologie</w:t>
      </w:r>
      <w:r w:rsidR="00AF211A">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élaborée</w:t>
      </w:r>
      <w:r w:rsidR="00AF211A">
        <w:rPr>
          <w:rFonts w:ascii="Times New Roman" w:eastAsia="Times New Roman" w:hAnsi="Times New Roman" w:cs="Times New Roman"/>
          <w:kern w:val="0"/>
          <w:sz w:val="24"/>
          <w:szCs w:val="24"/>
          <w:lang w:eastAsia="fr-FR"/>
          <w14:ligatures w14:val="none"/>
        </w:rPr>
        <w:t> ;</w:t>
      </w:r>
    </w:p>
    <w:p w14:paraId="1AA75B65" w14:textId="49AD0862" w:rsidR="00AF211A" w:rsidRDefault="00AF211A" w:rsidP="007825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DIGES 2</w:t>
      </w:r>
      <w:r w:rsidR="007B0EDD">
        <w:rPr>
          <w:rFonts w:ascii="Times New Roman" w:eastAsia="Times New Roman" w:hAnsi="Times New Roman" w:cs="Times New Roman"/>
          <w:kern w:val="0"/>
          <w:sz w:val="24"/>
          <w:szCs w:val="24"/>
          <w:lang w:eastAsia="fr-FR"/>
          <w14:ligatures w14:val="none"/>
        </w:rPr>
        <w:t> ;</w:t>
      </w:r>
      <w:r>
        <w:rPr>
          <w:rFonts w:ascii="Times New Roman" w:eastAsia="Times New Roman" w:hAnsi="Times New Roman" w:cs="Times New Roman"/>
          <w:kern w:val="0"/>
          <w:sz w:val="24"/>
          <w:szCs w:val="24"/>
          <w:lang w:eastAsia="fr-FR"/>
          <w14:ligatures w14:val="none"/>
        </w:rPr>
        <w:t xml:space="preserve"> </w:t>
      </w:r>
    </w:p>
    <w:p w14:paraId="74C77BE2" w14:textId="796D5407" w:rsidR="00AF211A" w:rsidRDefault="00AF211A" w:rsidP="007825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11A">
        <w:rPr>
          <w:rFonts w:ascii="Times New Roman" w:eastAsia="Times New Roman" w:hAnsi="Times New Roman" w:cs="Times New Roman"/>
          <w:kern w:val="0"/>
          <w:sz w:val="24"/>
          <w:szCs w:val="24"/>
          <w:lang w:eastAsia="fr-FR"/>
          <w14:ligatures w14:val="none"/>
        </w:rPr>
        <w:t>MéthaSim V2.0 (2021)</w:t>
      </w:r>
      <w:r>
        <w:rPr>
          <w:rFonts w:ascii="Times New Roman" w:eastAsia="Times New Roman" w:hAnsi="Times New Roman" w:cs="Times New Roman"/>
          <w:kern w:val="0"/>
          <w:sz w:val="24"/>
          <w:szCs w:val="24"/>
          <w:lang w:eastAsia="fr-FR"/>
          <w14:ligatures w14:val="none"/>
        </w:rPr>
        <w:t> ;</w:t>
      </w:r>
    </w:p>
    <w:p w14:paraId="4AE7DC83" w14:textId="27E7702F" w:rsidR="00AF211A" w:rsidRDefault="00AF211A" w:rsidP="007825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INRAE ;</w:t>
      </w:r>
    </w:p>
    <w:p w14:paraId="6CF343D8" w14:textId="2CA64541" w:rsidR="00AF211A" w:rsidRPr="00AF211A" w:rsidRDefault="00AF211A" w:rsidP="007825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Solagro ;</w:t>
      </w:r>
    </w:p>
    <w:p w14:paraId="72E6E7A6" w14:textId="6DE4F8BD" w:rsidR="00AF211A" w:rsidRDefault="00AF211A" w:rsidP="007825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11A">
        <w:rPr>
          <w:rFonts w:ascii="Times New Roman" w:eastAsia="Times New Roman" w:hAnsi="Times New Roman" w:cs="Times New Roman"/>
          <w:kern w:val="0"/>
          <w:sz w:val="24"/>
          <w:szCs w:val="24"/>
          <w:lang w:eastAsia="fr-FR"/>
          <w14:ligatures w14:val="none"/>
        </w:rPr>
        <w:t>Projet ABILE2 (Améliorer le Bilan Environnemental d'une Exploitation par la méthanisation des déjections animales - Impact des pratiques d'élevage)</w:t>
      </w:r>
      <w:r>
        <w:rPr>
          <w:rFonts w:ascii="Times New Roman" w:eastAsia="Times New Roman" w:hAnsi="Times New Roman" w:cs="Times New Roman"/>
          <w:kern w:val="0"/>
          <w:sz w:val="24"/>
          <w:szCs w:val="24"/>
          <w:lang w:eastAsia="fr-FR"/>
          <w14:ligatures w14:val="none"/>
        </w:rPr>
        <w:t> :</w:t>
      </w:r>
      <w:r w:rsidRPr="00AF211A">
        <w:rPr>
          <w:rFonts w:ascii="Times New Roman" w:eastAsia="Times New Roman" w:hAnsi="Times New Roman" w:cs="Times New Roman"/>
          <w:kern w:val="0"/>
          <w:sz w:val="24"/>
          <w:szCs w:val="24"/>
          <w:lang w:eastAsia="fr-FR"/>
          <w14:ligatures w14:val="none"/>
        </w:rPr>
        <w:t xml:space="preserve"> MAA, IFIP, ITAVI, Idele, INRAE, INRAE Transfert</w:t>
      </w:r>
      <w:r>
        <w:rPr>
          <w:rFonts w:ascii="Times New Roman" w:eastAsia="Times New Roman" w:hAnsi="Times New Roman" w:cs="Times New Roman"/>
          <w:kern w:val="0"/>
          <w:sz w:val="24"/>
          <w:szCs w:val="24"/>
          <w:lang w:eastAsia="fr-FR"/>
          <w14:ligatures w14:val="none"/>
        </w:rPr>
        <w:t> ;</w:t>
      </w:r>
    </w:p>
    <w:p w14:paraId="5A2B6448" w14:textId="77777777" w:rsidR="00B10324" w:rsidRDefault="00AF211A" w:rsidP="007825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F211A">
        <w:rPr>
          <w:rFonts w:ascii="Times New Roman" w:eastAsia="Times New Roman" w:hAnsi="Times New Roman" w:cs="Times New Roman"/>
          <w:kern w:val="0"/>
          <w:sz w:val="24"/>
          <w:szCs w:val="24"/>
          <w:lang w:eastAsia="fr-FR"/>
          <w14:ligatures w14:val="none"/>
        </w:rPr>
        <w:t>Sys-metha_150221</w:t>
      </w:r>
      <w:r w:rsidR="00B10324">
        <w:rPr>
          <w:rFonts w:ascii="Times New Roman" w:eastAsia="Times New Roman" w:hAnsi="Times New Roman" w:cs="Times New Roman"/>
          <w:kern w:val="0"/>
          <w:sz w:val="24"/>
          <w:szCs w:val="24"/>
          <w:lang w:eastAsia="fr-FR"/>
          <w14:ligatures w14:val="none"/>
        </w:rPr>
        <w:t xml:space="preserve"> ; </w:t>
      </w:r>
    </w:p>
    <w:p w14:paraId="0A2B8F06" w14:textId="6E097888" w:rsidR="00E554EC" w:rsidRDefault="00E554EC" w:rsidP="007825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Liste des </w:t>
      </w:r>
      <w:r w:rsidR="00C80B1B">
        <w:rPr>
          <w:rFonts w:ascii="Times New Roman" w:eastAsia="Times New Roman" w:hAnsi="Times New Roman" w:cs="Times New Roman"/>
          <w:kern w:val="0"/>
          <w:sz w:val="24"/>
          <w:szCs w:val="24"/>
          <w:lang w:eastAsia="fr-FR"/>
          <w14:ligatures w14:val="none"/>
        </w:rPr>
        <w:t>matières</w:t>
      </w:r>
      <w:r>
        <w:rPr>
          <w:rFonts w:ascii="Times New Roman" w:eastAsia="Times New Roman" w:hAnsi="Times New Roman" w:cs="Times New Roman"/>
          <w:kern w:val="0"/>
          <w:sz w:val="24"/>
          <w:szCs w:val="24"/>
          <w:lang w:eastAsia="fr-FR"/>
          <w14:ligatures w14:val="none"/>
        </w:rPr>
        <w:t xml:space="preserve"> 2bs ;</w:t>
      </w:r>
    </w:p>
    <w:p w14:paraId="7B9F4EA8" w14:textId="2CB3FBAA" w:rsidR="00AF211A" w:rsidRPr="00736AA8" w:rsidRDefault="00B10324" w:rsidP="007825B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Union DataBase</w:t>
      </w:r>
    </w:p>
    <w:p w14:paraId="105B514B" w14:textId="77777777" w:rsidR="00724E97" w:rsidRPr="00EE1D18" w:rsidRDefault="00724E97" w:rsidP="007825B3">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76073A6E" w14:textId="77777777" w:rsidR="005519C3" w:rsidRDefault="005519C3" w:rsidP="005519C3">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p>
    <w:p w14:paraId="70854CDB" w14:textId="77777777" w:rsidR="00736AA8" w:rsidRDefault="00736AA8"/>
    <w:sectPr w:rsidR="00736AA8" w:rsidSect="000327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A666C0" w16cex:dateUtc="2024-10-07T14:30:00Z"/>
  <w16cex:commentExtensible w16cex:durableId="0E335E12" w16cex:dateUtc="2024-08-13T09:24:00Z"/>
  <w16cex:commentExtensible w16cex:durableId="17D2C1D5" w16cex:dateUtc="2024-10-07T14:31:00Z"/>
  <w16cex:commentExtensible w16cex:durableId="063A3895" w16cex:dateUtc="2024-08-14T11:51:00Z"/>
  <w16cex:commentExtensible w16cex:durableId="0D13CA1D" w16cex:dateUtc="2024-10-07T14:37:00Z"/>
  <w16cex:commentExtensible w16cex:durableId="6AAC7E22" w16cex:dateUtc="2024-08-13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963A39" w16cid:durableId="5A7BD0E0"/>
  <w16cid:commentId w16cid:paraId="55EFD1E4" w16cid:durableId="2EA666C0"/>
  <w16cid:commentId w16cid:paraId="2B302455" w16cid:durableId="1D8FD568"/>
  <w16cid:commentId w16cid:paraId="0C770FFB" w16cid:durableId="0E335E12"/>
  <w16cid:commentId w16cid:paraId="3C5EA914" w16cid:durableId="2E17C1C9"/>
  <w16cid:commentId w16cid:paraId="7B90F9CA" w16cid:durableId="17D2C1D5"/>
  <w16cid:commentId w16cid:paraId="291EFC9B" w16cid:durableId="7771C780"/>
  <w16cid:commentId w16cid:paraId="72857EC7" w16cid:durableId="063A3895"/>
  <w16cid:commentId w16cid:paraId="50D7458F" w16cid:durableId="5CB202AC"/>
  <w16cid:commentId w16cid:paraId="1E739CF5" w16cid:durableId="0D13CA1D"/>
  <w16cid:commentId w16cid:paraId="39665DB0" w16cid:durableId="25C6ECFD"/>
  <w16cid:commentId w16cid:paraId="26F8CCD8" w16cid:durableId="6AAC7E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74351" w14:textId="77777777" w:rsidR="004D2B4D" w:rsidRDefault="004D2B4D" w:rsidP="00724E97">
      <w:pPr>
        <w:spacing w:after="0" w:line="240" w:lineRule="auto"/>
      </w:pPr>
      <w:r>
        <w:separator/>
      </w:r>
    </w:p>
  </w:endnote>
  <w:endnote w:type="continuationSeparator" w:id="0">
    <w:p w14:paraId="20CE93E2" w14:textId="77777777" w:rsidR="004D2B4D" w:rsidRDefault="004D2B4D" w:rsidP="0072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76DA3" w14:textId="77777777" w:rsidR="002B47FA" w:rsidRDefault="002B47F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851054"/>
      <w:docPartObj>
        <w:docPartGallery w:val="Page Numbers (Bottom of Page)"/>
        <w:docPartUnique/>
      </w:docPartObj>
    </w:sdtPr>
    <w:sdtEndPr/>
    <w:sdtContent>
      <w:p w14:paraId="20811262" w14:textId="0266B04A" w:rsidR="00724E97" w:rsidRDefault="00724E97">
        <w:pPr>
          <w:pStyle w:val="Pieddepage"/>
          <w:jc w:val="right"/>
        </w:pPr>
        <w:r>
          <w:fldChar w:fldCharType="begin"/>
        </w:r>
        <w:r>
          <w:instrText>PAGE   \* MERGEFORMAT</w:instrText>
        </w:r>
        <w:r>
          <w:fldChar w:fldCharType="separate"/>
        </w:r>
        <w:r w:rsidR="006260B1">
          <w:rPr>
            <w:noProof/>
          </w:rPr>
          <w:t>3</w:t>
        </w:r>
        <w:r>
          <w:fldChar w:fldCharType="end"/>
        </w:r>
      </w:p>
    </w:sdtContent>
  </w:sdt>
  <w:p w14:paraId="591C0D87" w14:textId="77777777" w:rsidR="00724E97" w:rsidRDefault="00724E9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C4D70" w14:textId="5D232CED" w:rsidR="0020373E" w:rsidRDefault="0020373E" w:rsidP="0020373E">
    <w:pPr>
      <w:pStyle w:val="Pieddepage"/>
      <w:jc w:val="center"/>
    </w:pPr>
    <w:r w:rsidRPr="0020373E">
      <w:rPr>
        <w:noProof/>
        <w:lang w:eastAsia="fr-FR"/>
      </w:rPr>
      <w:drawing>
        <wp:inline distT="0" distB="0" distL="0" distR="0" wp14:anchorId="297F7716" wp14:editId="1A084B8E">
          <wp:extent cx="4565913" cy="774194"/>
          <wp:effectExtent l="0" t="0" r="6350" b="6985"/>
          <wp:docPr id="30"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2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65913" cy="7741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AAE7C" w14:textId="77777777" w:rsidR="004D2B4D" w:rsidRDefault="004D2B4D" w:rsidP="00724E97">
      <w:pPr>
        <w:spacing w:after="0" w:line="240" w:lineRule="auto"/>
      </w:pPr>
      <w:r>
        <w:separator/>
      </w:r>
    </w:p>
  </w:footnote>
  <w:footnote w:type="continuationSeparator" w:id="0">
    <w:p w14:paraId="7481312D" w14:textId="77777777" w:rsidR="004D2B4D" w:rsidRDefault="004D2B4D" w:rsidP="00724E97">
      <w:pPr>
        <w:spacing w:after="0" w:line="240" w:lineRule="auto"/>
      </w:pPr>
      <w:r>
        <w:continuationSeparator/>
      </w:r>
    </w:p>
  </w:footnote>
  <w:footnote w:id="1">
    <w:p w14:paraId="16A1A40C" w14:textId="396D03A8" w:rsidR="004937CF" w:rsidRDefault="004937CF">
      <w:pPr>
        <w:pStyle w:val="Notedebasdepage"/>
      </w:pPr>
      <w:r>
        <w:rPr>
          <w:rStyle w:val="Appelnotedebasdep"/>
        </w:rPr>
        <w:footnoteRef/>
      </w:r>
      <w:r>
        <w:t xml:space="preserve"> </w:t>
      </w:r>
      <w:r>
        <w:rPr>
          <w:rFonts w:ascii="Times New Roman" w:eastAsia="Times New Roman" w:hAnsi="Times New Roman" w:cs="Times New Roman"/>
          <w:kern w:val="0"/>
          <w:sz w:val="24"/>
          <w:szCs w:val="24"/>
          <w:lang w:eastAsia="fr-FR"/>
          <w14:ligatures w14:val="none"/>
        </w:rPr>
        <w:t>Notée « valeur biblio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5883D" w14:textId="77777777" w:rsidR="002B47FA" w:rsidRDefault="002B47F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489C1" w14:textId="45B8055E" w:rsidR="000A4756" w:rsidRDefault="000A4756">
    <w:pPr>
      <w:pStyle w:val="En-tte"/>
    </w:pPr>
    <w:r>
      <w:rPr>
        <w:noProof/>
        <w:lang w:eastAsia="fr-FR"/>
      </w:rPr>
      <w:drawing>
        <wp:anchor distT="0" distB="0" distL="114300" distR="114300" simplePos="0" relativeHeight="251658240" behindDoc="1" locked="0" layoutInCell="1" allowOverlap="1" wp14:anchorId="50547E10" wp14:editId="078CB4D5">
          <wp:simplePos x="0" y="0"/>
          <wp:positionH relativeFrom="page">
            <wp:align>right</wp:align>
          </wp:positionH>
          <wp:positionV relativeFrom="topMargin">
            <wp:align>bottom</wp:align>
          </wp:positionV>
          <wp:extent cx="1374775" cy="857250"/>
          <wp:effectExtent l="0" t="0" r="0" b="0"/>
          <wp:wrapNone/>
          <wp:docPr id="2" name="Image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05A652D-5C8D-4EEB-8A26-C23335DFE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05A652D-5C8D-4EEB-8A26-C23335DFE1C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4775" cy="857250"/>
                  </a:xfrm>
                  <a:prstGeom prst="rect">
                    <a:avLst/>
                  </a:prstGeom>
                </pic:spPr>
              </pic:pic>
            </a:graphicData>
          </a:graphic>
        </wp:anchor>
      </w:drawing>
    </w: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6D465" w14:textId="611FA883" w:rsidR="000327EF" w:rsidRDefault="002B47FA">
    <w:pPr>
      <w:pStyle w:val="En-tte"/>
    </w:pPr>
    <w:r w:rsidRPr="002B47FA">
      <w:rPr>
        <w:noProof/>
        <w:lang w:eastAsia="fr-FR"/>
      </w:rPr>
      <w:drawing>
        <wp:inline distT="0" distB="0" distL="0" distR="0" wp14:anchorId="0181DC7E" wp14:editId="33BDBF6F">
          <wp:extent cx="5942959" cy="1714500"/>
          <wp:effectExtent l="0" t="0" r="1270" b="0"/>
          <wp:docPr id="4" name="Image 4" descr="I:\FRANCEAGRIMER\ENTITE\MEP\TRANSVERSE\BIOECONOMIE\SUIVI DE TRAVAUX EXTERNES (études et participation COPILs, etc)\CSF NSE biogaz\nomenclature intrants\VF\Captureband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RANCEAGRIMER\ENTITE\MEP\TRANSVERSE\BIOECONOMIE\SUIVI DE TRAVAUX EXTERNES (études et participation COPILs, etc)\CSF NSE biogaz\nomenclature intrants\VF\Capturebande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7092" cy="17214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34438"/>
    <w:multiLevelType w:val="hybridMultilevel"/>
    <w:tmpl w:val="97FC1F0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045FAF"/>
    <w:multiLevelType w:val="hybridMultilevel"/>
    <w:tmpl w:val="26E8E1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AB06A6"/>
    <w:multiLevelType w:val="multilevel"/>
    <w:tmpl w:val="7730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2A070E"/>
    <w:multiLevelType w:val="hybridMultilevel"/>
    <w:tmpl w:val="EE70CBB0"/>
    <w:lvl w:ilvl="0" w:tplc="A2808132">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9D6EA7"/>
    <w:multiLevelType w:val="multilevel"/>
    <w:tmpl w:val="7F40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E85934"/>
    <w:multiLevelType w:val="hybridMultilevel"/>
    <w:tmpl w:val="31D4DA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A8"/>
    <w:rsid w:val="000023E3"/>
    <w:rsid w:val="000327EF"/>
    <w:rsid w:val="000406A2"/>
    <w:rsid w:val="000506EF"/>
    <w:rsid w:val="00067204"/>
    <w:rsid w:val="000A4756"/>
    <w:rsid w:val="00114CEC"/>
    <w:rsid w:val="00131F74"/>
    <w:rsid w:val="0013319A"/>
    <w:rsid w:val="00137E7C"/>
    <w:rsid w:val="001947BE"/>
    <w:rsid w:val="001B3C99"/>
    <w:rsid w:val="001C3065"/>
    <w:rsid w:val="001C7FD7"/>
    <w:rsid w:val="0020373E"/>
    <w:rsid w:val="00214B40"/>
    <w:rsid w:val="00230B25"/>
    <w:rsid w:val="0023391C"/>
    <w:rsid w:val="00247C25"/>
    <w:rsid w:val="002523F0"/>
    <w:rsid w:val="002A1F13"/>
    <w:rsid w:val="002B47FA"/>
    <w:rsid w:val="002D30FB"/>
    <w:rsid w:val="002D3450"/>
    <w:rsid w:val="00303319"/>
    <w:rsid w:val="00333C94"/>
    <w:rsid w:val="00345D15"/>
    <w:rsid w:val="00457F8A"/>
    <w:rsid w:val="004937CF"/>
    <w:rsid w:val="004B5A96"/>
    <w:rsid w:val="004D2B4D"/>
    <w:rsid w:val="00537652"/>
    <w:rsid w:val="005519C3"/>
    <w:rsid w:val="005776CF"/>
    <w:rsid w:val="006260B1"/>
    <w:rsid w:val="006B7B7D"/>
    <w:rsid w:val="006E0935"/>
    <w:rsid w:val="006E4DCF"/>
    <w:rsid w:val="00724E97"/>
    <w:rsid w:val="00736AA8"/>
    <w:rsid w:val="00741BCB"/>
    <w:rsid w:val="0074551C"/>
    <w:rsid w:val="007825B3"/>
    <w:rsid w:val="007B0EDD"/>
    <w:rsid w:val="007D7BE3"/>
    <w:rsid w:val="00803EE4"/>
    <w:rsid w:val="0086230E"/>
    <w:rsid w:val="00891615"/>
    <w:rsid w:val="00972CDF"/>
    <w:rsid w:val="00986A0D"/>
    <w:rsid w:val="009C64EF"/>
    <w:rsid w:val="00A73752"/>
    <w:rsid w:val="00A76B15"/>
    <w:rsid w:val="00AB3D17"/>
    <w:rsid w:val="00AC5F81"/>
    <w:rsid w:val="00AE6D53"/>
    <w:rsid w:val="00AF211A"/>
    <w:rsid w:val="00B10324"/>
    <w:rsid w:val="00B10714"/>
    <w:rsid w:val="00B1628D"/>
    <w:rsid w:val="00B35E90"/>
    <w:rsid w:val="00B9780C"/>
    <w:rsid w:val="00BB6D77"/>
    <w:rsid w:val="00C33BD3"/>
    <w:rsid w:val="00C42523"/>
    <w:rsid w:val="00C46990"/>
    <w:rsid w:val="00C612F2"/>
    <w:rsid w:val="00C80B1B"/>
    <w:rsid w:val="00C95758"/>
    <w:rsid w:val="00CE7BDD"/>
    <w:rsid w:val="00D15387"/>
    <w:rsid w:val="00DB7367"/>
    <w:rsid w:val="00DC6259"/>
    <w:rsid w:val="00E124D5"/>
    <w:rsid w:val="00E453FE"/>
    <w:rsid w:val="00E554EC"/>
    <w:rsid w:val="00E82E06"/>
    <w:rsid w:val="00E854B7"/>
    <w:rsid w:val="00E92C40"/>
    <w:rsid w:val="00EE1D18"/>
    <w:rsid w:val="00F377F2"/>
    <w:rsid w:val="00F46F6C"/>
    <w:rsid w:val="00F55E93"/>
    <w:rsid w:val="00F725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5098"/>
  <w15:chartTrackingRefBased/>
  <w15:docId w15:val="{349149BE-1773-4A03-AFCE-F1E8950E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A47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A47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36AA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AF211A"/>
    <w:pPr>
      <w:ind w:left="720"/>
      <w:contextualSpacing/>
    </w:pPr>
  </w:style>
  <w:style w:type="paragraph" w:styleId="En-tte">
    <w:name w:val="header"/>
    <w:basedOn w:val="Normal"/>
    <w:link w:val="En-tteCar"/>
    <w:uiPriority w:val="99"/>
    <w:unhideWhenUsed/>
    <w:rsid w:val="00724E97"/>
    <w:pPr>
      <w:tabs>
        <w:tab w:val="center" w:pos="4680"/>
        <w:tab w:val="right" w:pos="9360"/>
      </w:tabs>
      <w:spacing w:after="0" w:line="240" w:lineRule="auto"/>
    </w:pPr>
  </w:style>
  <w:style w:type="character" w:customStyle="1" w:styleId="En-tteCar">
    <w:name w:val="En-tête Car"/>
    <w:basedOn w:val="Policepardfaut"/>
    <w:link w:val="En-tte"/>
    <w:uiPriority w:val="99"/>
    <w:rsid w:val="00724E97"/>
  </w:style>
  <w:style w:type="paragraph" w:styleId="Pieddepage">
    <w:name w:val="footer"/>
    <w:basedOn w:val="Normal"/>
    <w:link w:val="PieddepageCar"/>
    <w:uiPriority w:val="99"/>
    <w:unhideWhenUsed/>
    <w:rsid w:val="00724E9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24E97"/>
  </w:style>
  <w:style w:type="character" w:customStyle="1" w:styleId="Titre1Car">
    <w:name w:val="Titre 1 Car"/>
    <w:basedOn w:val="Policepardfaut"/>
    <w:link w:val="Titre1"/>
    <w:uiPriority w:val="9"/>
    <w:rsid w:val="000A475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A4756"/>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0A4756"/>
    <w:rPr>
      <w:b/>
      <w:bCs/>
    </w:rPr>
  </w:style>
  <w:style w:type="paragraph" w:styleId="Textedebulles">
    <w:name w:val="Balloon Text"/>
    <w:basedOn w:val="Normal"/>
    <w:link w:val="TextedebullesCar"/>
    <w:uiPriority w:val="99"/>
    <w:semiHidden/>
    <w:unhideWhenUsed/>
    <w:rsid w:val="008916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1615"/>
    <w:rPr>
      <w:rFonts w:ascii="Segoe UI" w:hAnsi="Segoe UI" w:cs="Segoe UI"/>
      <w:sz w:val="18"/>
      <w:szCs w:val="18"/>
    </w:rPr>
  </w:style>
  <w:style w:type="character" w:styleId="Marquedecommentaire">
    <w:name w:val="annotation reference"/>
    <w:basedOn w:val="Policepardfaut"/>
    <w:uiPriority w:val="99"/>
    <w:semiHidden/>
    <w:unhideWhenUsed/>
    <w:rsid w:val="001C7FD7"/>
    <w:rPr>
      <w:sz w:val="16"/>
      <w:szCs w:val="16"/>
    </w:rPr>
  </w:style>
  <w:style w:type="paragraph" w:styleId="Commentaire">
    <w:name w:val="annotation text"/>
    <w:basedOn w:val="Normal"/>
    <w:link w:val="CommentaireCar"/>
    <w:uiPriority w:val="99"/>
    <w:unhideWhenUsed/>
    <w:rsid w:val="001C7FD7"/>
    <w:pPr>
      <w:spacing w:line="240" w:lineRule="auto"/>
    </w:pPr>
    <w:rPr>
      <w:sz w:val="20"/>
      <w:szCs w:val="20"/>
    </w:rPr>
  </w:style>
  <w:style w:type="character" w:customStyle="1" w:styleId="CommentaireCar">
    <w:name w:val="Commentaire Car"/>
    <w:basedOn w:val="Policepardfaut"/>
    <w:link w:val="Commentaire"/>
    <w:uiPriority w:val="99"/>
    <w:rsid w:val="001C7FD7"/>
    <w:rPr>
      <w:sz w:val="20"/>
      <w:szCs w:val="20"/>
    </w:rPr>
  </w:style>
  <w:style w:type="paragraph" w:styleId="Objetducommentaire">
    <w:name w:val="annotation subject"/>
    <w:basedOn w:val="Commentaire"/>
    <w:next w:val="Commentaire"/>
    <w:link w:val="ObjetducommentaireCar"/>
    <w:uiPriority w:val="99"/>
    <w:semiHidden/>
    <w:unhideWhenUsed/>
    <w:rsid w:val="001C7FD7"/>
    <w:rPr>
      <w:b/>
      <w:bCs/>
    </w:rPr>
  </w:style>
  <w:style w:type="character" w:customStyle="1" w:styleId="ObjetducommentaireCar">
    <w:name w:val="Objet du commentaire Car"/>
    <w:basedOn w:val="CommentaireCar"/>
    <w:link w:val="Objetducommentaire"/>
    <w:uiPriority w:val="99"/>
    <w:semiHidden/>
    <w:rsid w:val="001C7FD7"/>
    <w:rPr>
      <w:b/>
      <w:bCs/>
      <w:sz w:val="20"/>
      <w:szCs w:val="20"/>
    </w:rPr>
  </w:style>
  <w:style w:type="paragraph" w:styleId="Rvision">
    <w:name w:val="Revision"/>
    <w:hidden/>
    <w:uiPriority w:val="99"/>
    <w:semiHidden/>
    <w:rsid w:val="00F7253D"/>
    <w:pPr>
      <w:spacing w:after="0" w:line="240" w:lineRule="auto"/>
    </w:pPr>
  </w:style>
  <w:style w:type="table" w:styleId="Grilledutableau">
    <w:name w:val="Table Grid"/>
    <w:basedOn w:val="TableauNormal"/>
    <w:uiPriority w:val="39"/>
    <w:rsid w:val="0074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937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37CF"/>
    <w:rPr>
      <w:sz w:val="20"/>
      <w:szCs w:val="20"/>
    </w:rPr>
  </w:style>
  <w:style w:type="character" w:styleId="Appelnotedebasdep">
    <w:name w:val="footnote reference"/>
    <w:basedOn w:val="Policepardfaut"/>
    <w:uiPriority w:val="99"/>
    <w:semiHidden/>
    <w:unhideWhenUsed/>
    <w:rsid w:val="0049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5258">
      <w:bodyDiv w:val="1"/>
      <w:marLeft w:val="0"/>
      <w:marRight w:val="0"/>
      <w:marTop w:val="0"/>
      <w:marBottom w:val="0"/>
      <w:divBdr>
        <w:top w:val="none" w:sz="0" w:space="0" w:color="auto"/>
        <w:left w:val="none" w:sz="0" w:space="0" w:color="auto"/>
        <w:bottom w:val="none" w:sz="0" w:space="0" w:color="auto"/>
        <w:right w:val="none" w:sz="0" w:space="0" w:color="auto"/>
      </w:divBdr>
    </w:div>
    <w:div w:id="9959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2FF52-B5FE-4B91-893B-A4F243A5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987</Words>
  <Characters>5429</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dc:creator>
  <cp:keywords/>
  <dc:description/>
  <cp:lastModifiedBy>PAYEN Aurore</cp:lastModifiedBy>
  <cp:revision>3</cp:revision>
  <cp:lastPrinted>2024-05-15T09:40:00Z</cp:lastPrinted>
  <dcterms:created xsi:type="dcterms:W3CDTF">2025-01-16T16:52:00Z</dcterms:created>
  <dcterms:modified xsi:type="dcterms:W3CDTF">2025-01-16T16:54:00Z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0ed1b-e95f-40b5-af89-828263f287a7_Enabled">
    <vt:lpwstr>true</vt:lpwstr>
  </property>
  <property fmtid="{D5CDD505-2E9C-101B-9397-08002B2CF9AE}" pid="3" name="MSIP_Label_2b30ed1b-e95f-40b5-af89-828263f287a7_SetDate">
    <vt:lpwstr>2024-03-13T15:09:03Z</vt:lpwstr>
  </property>
  <property fmtid="{D5CDD505-2E9C-101B-9397-08002B2CF9AE}" pid="4" name="MSIP_Label_2b30ed1b-e95f-40b5-af89-828263f287a7_Method">
    <vt:lpwstr>Standard</vt:lpwstr>
  </property>
  <property fmtid="{D5CDD505-2E9C-101B-9397-08002B2CF9AE}" pid="5" name="MSIP_Label_2b30ed1b-e95f-40b5-af89-828263f287a7_Name">
    <vt:lpwstr>2b30ed1b-e95f-40b5-af89-828263f287a7</vt:lpwstr>
  </property>
  <property fmtid="{D5CDD505-2E9C-101B-9397-08002B2CF9AE}" pid="6" name="MSIP_Label_2b30ed1b-e95f-40b5-af89-828263f287a7_SiteId">
    <vt:lpwstr>329e91b0-e21f-48fb-a071-456717ecc28e</vt:lpwstr>
  </property>
  <property fmtid="{D5CDD505-2E9C-101B-9397-08002B2CF9AE}" pid="7" name="MSIP_Label_2b30ed1b-e95f-40b5-af89-828263f287a7_ActionId">
    <vt:lpwstr>1daa2f7d-1ff1-4bd6-8b6d-a9b14b2bede8</vt:lpwstr>
  </property>
  <property fmtid="{D5CDD505-2E9C-101B-9397-08002B2CF9AE}" pid="8" name="MSIP_Label_2b30ed1b-e95f-40b5-af89-828263f287a7_ContentBits">
    <vt:lpwstr>0</vt:lpwstr>
  </property>
</Properties>
</file>