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A6CCF" w14:textId="77777777" w:rsidR="00E8760D" w:rsidRDefault="00E8760D" w:rsidP="00D64864">
      <w:pPr>
        <w:jc w:val="center"/>
        <w:rPr>
          <w:b/>
          <w:color w:val="1F3864" w:themeColor="accent5" w:themeShade="80"/>
          <w:sz w:val="26"/>
          <w:szCs w:val="26"/>
          <w:u w:val="single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7CCA0E51" wp14:editId="6E9440AB">
            <wp:extent cx="6696075" cy="1755775"/>
            <wp:effectExtent l="0" t="0" r="9525" b="0"/>
            <wp:docPr id="19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1755775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05BE4E03" w14:textId="77777777" w:rsidR="0077064D" w:rsidRDefault="0077064D" w:rsidP="00560459">
      <w:pPr>
        <w:rPr>
          <w:b/>
          <w:sz w:val="24"/>
          <w:szCs w:val="24"/>
          <w:u w:val="single"/>
        </w:rPr>
      </w:pPr>
    </w:p>
    <w:p w14:paraId="6FDC52A3" w14:textId="77777777" w:rsidR="00D86140" w:rsidRDefault="00D86140" w:rsidP="00560459">
      <w:pPr>
        <w:rPr>
          <w:b/>
          <w:sz w:val="24"/>
          <w:szCs w:val="24"/>
          <w:u w:val="single"/>
        </w:rPr>
      </w:pPr>
    </w:p>
    <w:p w14:paraId="0E2104BA" w14:textId="7C91B35C" w:rsidR="005A7503" w:rsidRPr="00D86140" w:rsidRDefault="00D86140" w:rsidP="005A7503">
      <w:pPr>
        <w:jc w:val="center"/>
        <w:rPr>
          <w:b/>
          <w:sz w:val="32"/>
          <w:szCs w:val="32"/>
        </w:rPr>
      </w:pPr>
      <w:r w:rsidRPr="00D86140">
        <w:rPr>
          <w:b/>
          <w:sz w:val="32"/>
          <w:szCs w:val="32"/>
        </w:rPr>
        <w:t>France</w:t>
      </w:r>
    </w:p>
    <w:p w14:paraId="1D4DEC6F" w14:textId="66AC6F78" w:rsidR="001909E6" w:rsidRPr="00B44663" w:rsidRDefault="00D86140" w:rsidP="00B44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Les échanges</w:t>
      </w:r>
      <w:r w:rsidR="000C7219" w:rsidRPr="005A7503">
        <w:rPr>
          <w:b/>
          <w:sz w:val="28"/>
          <w:szCs w:val="28"/>
        </w:rPr>
        <w:t xml:space="preserve"> </w:t>
      </w:r>
      <w:r w:rsidR="009D6B28" w:rsidRPr="005A7503">
        <w:rPr>
          <w:b/>
          <w:sz w:val="28"/>
          <w:szCs w:val="28"/>
        </w:rPr>
        <w:t>de produits agricoles et agroalimentaires</w:t>
      </w:r>
      <w:r w:rsidR="000C7219" w:rsidRPr="005A7503">
        <w:rPr>
          <w:b/>
          <w:sz w:val="28"/>
          <w:szCs w:val="28"/>
        </w:rPr>
        <w:t xml:space="preserve"> </w:t>
      </w:r>
      <w:r w:rsidR="001931BD">
        <w:rPr>
          <w:b/>
          <w:sz w:val="28"/>
          <w:szCs w:val="28"/>
        </w:rPr>
        <w:t>sur les 9</w:t>
      </w:r>
      <w:r w:rsidR="005A7503" w:rsidRPr="005A7503">
        <w:rPr>
          <w:b/>
          <w:sz w:val="28"/>
          <w:szCs w:val="28"/>
        </w:rPr>
        <w:t xml:space="preserve"> premiers mois de l’année</w:t>
      </w:r>
    </w:p>
    <w:p w14:paraId="6FAD36AE" w14:textId="6210EBF1" w:rsidR="005A7503" w:rsidRPr="00357998" w:rsidRDefault="005A7503" w:rsidP="005A7503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Contributeur</w:t>
      </w:r>
      <w:r w:rsidR="00D86140">
        <w:rPr>
          <w:rFonts w:ascii="Calibri" w:hAnsi="Calibri"/>
          <w:i/>
        </w:rPr>
        <w:t> : MAEI</w:t>
      </w:r>
    </w:p>
    <w:p w14:paraId="2D227B62" w14:textId="77777777" w:rsidR="00D86140" w:rsidRDefault="00D86140" w:rsidP="001A2F53">
      <w:pPr>
        <w:spacing w:line="259" w:lineRule="auto"/>
        <w:jc w:val="both"/>
      </w:pPr>
    </w:p>
    <w:p w14:paraId="13D55ACD" w14:textId="64F57B83" w:rsidR="00D86140" w:rsidRPr="00D86140" w:rsidRDefault="00D86140" w:rsidP="00D86140">
      <w:pPr>
        <w:spacing w:line="259" w:lineRule="auto"/>
        <w:jc w:val="center"/>
        <w:rPr>
          <w:b/>
          <w:sz w:val="28"/>
          <w:szCs w:val="28"/>
        </w:rPr>
      </w:pPr>
      <w:r w:rsidRPr="00D86140">
        <w:rPr>
          <w:b/>
          <w:sz w:val="28"/>
          <w:szCs w:val="28"/>
        </w:rPr>
        <w:t>Les exportations</w:t>
      </w:r>
    </w:p>
    <w:p w14:paraId="121CC2D2" w14:textId="77777777" w:rsidR="00665D80" w:rsidRDefault="00665D80" w:rsidP="00665D80">
      <w:pPr>
        <w:spacing w:line="259" w:lineRule="auto"/>
        <w:jc w:val="both"/>
        <w:rPr>
          <w:b/>
        </w:rPr>
      </w:pPr>
    </w:p>
    <w:p w14:paraId="746AA2EA" w14:textId="6686D629" w:rsidR="00665D80" w:rsidRPr="002E70C4" w:rsidRDefault="00665D80" w:rsidP="00665D80">
      <w:pPr>
        <w:spacing w:line="259" w:lineRule="auto"/>
        <w:jc w:val="both"/>
      </w:pPr>
      <w:r w:rsidRPr="003D0653">
        <w:rPr>
          <w:b/>
        </w:rPr>
        <w:t>Sur les ne</w:t>
      </w:r>
      <w:r w:rsidR="00353067">
        <w:rPr>
          <w:b/>
        </w:rPr>
        <w:t>uf premiers mois de l’année 2022</w:t>
      </w:r>
      <w:r w:rsidRPr="003D0653">
        <w:rPr>
          <w:b/>
        </w:rPr>
        <w:t xml:space="preserve">, les exportations françaises de produits agricoles et agroalimentaires </w:t>
      </w:r>
      <w:r w:rsidR="00A42C81">
        <w:rPr>
          <w:b/>
        </w:rPr>
        <w:t>ont fortement progressé</w:t>
      </w:r>
      <w:r w:rsidR="00AA24C2">
        <w:rPr>
          <w:b/>
        </w:rPr>
        <w:t xml:space="preserve"> en valeur</w:t>
      </w:r>
      <w:r>
        <w:rPr>
          <w:b/>
        </w:rPr>
        <w:t>,</w:t>
      </w:r>
      <w:r w:rsidR="00A42C81">
        <w:rPr>
          <w:b/>
        </w:rPr>
        <w:t xml:space="preserve"> </w:t>
      </w:r>
      <w:r w:rsidR="00AA24C2">
        <w:rPr>
          <w:b/>
        </w:rPr>
        <w:t xml:space="preserve">de </w:t>
      </w:r>
      <w:r w:rsidR="00A42C81">
        <w:rPr>
          <w:b/>
        </w:rPr>
        <w:t>+21</w:t>
      </w:r>
      <w:r w:rsidRPr="003D0653">
        <w:rPr>
          <w:b/>
        </w:rPr>
        <w:t xml:space="preserve">,5%, </w:t>
      </w:r>
      <w:r w:rsidR="00A42C81">
        <w:rPr>
          <w:b/>
        </w:rPr>
        <w:t>confirmant sur cette période leur forte reprise après leur</w:t>
      </w:r>
      <w:r w:rsidRPr="003D0653">
        <w:rPr>
          <w:b/>
        </w:rPr>
        <w:t xml:space="preserve"> baisse de -4,2% </w:t>
      </w:r>
      <w:r>
        <w:rPr>
          <w:b/>
        </w:rPr>
        <w:t>en 2020 par rapport à</w:t>
      </w:r>
      <w:r w:rsidRPr="003D0653">
        <w:rPr>
          <w:b/>
        </w:rPr>
        <w:t xml:space="preserve"> 2019.</w:t>
      </w:r>
      <w:r w:rsidR="0074015E">
        <w:t xml:space="preserve"> La progression </w:t>
      </w:r>
      <w:r>
        <w:t>est plus important</w:t>
      </w:r>
      <w:r w:rsidR="0074015E">
        <w:t>e</w:t>
      </w:r>
      <w:r>
        <w:t xml:space="preserve"> sur </w:t>
      </w:r>
      <w:r w:rsidR="0074015E">
        <w:t>les pays européens (+24,9%) que sur les pays tiers (+17,5%</w:t>
      </w:r>
      <w:r w:rsidR="00875579">
        <w:t xml:space="preserve">). </w:t>
      </w:r>
      <w:r w:rsidR="0074015E">
        <w:t>L</w:t>
      </w:r>
      <w:r>
        <w:t xml:space="preserve">es pays de l’Union européenne pèsent </w:t>
      </w:r>
      <w:r w:rsidR="0074015E">
        <w:t xml:space="preserve">désormais pour 55% </w:t>
      </w:r>
      <w:r>
        <w:t>d</w:t>
      </w:r>
      <w:r w:rsidR="0074015E">
        <w:t>ans les exportations françaises</w:t>
      </w:r>
      <w:r>
        <w:t xml:space="preserve"> avec les deux principaux client</w:t>
      </w:r>
      <w:r w:rsidR="0074015E">
        <w:t>s de la France : la Belgique (11,1</w:t>
      </w:r>
      <w:r>
        <w:t>% des exportations fra</w:t>
      </w:r>
      <w:r w:rsidR="0074015E">
        <w:t>nçaises)</w:t>
      </w:r>
      <w:r w:rsidR="00353067">
        <w:t>,</w:t>
      </w:r>
      <w:r w:rsidR="0074015E">
        <w:t xml:space="preserve"> en progression de +25,4</w:t>
      </w:r>
      <w:r>
        <w:t>%</w:t>
      </w:r>
      <w:r w:rsidR="00875579">
        <w:t>,</w:t>
      </w:r>
      <w:r w:rsidR="0074015E">
        <w:t xml:space="preserve"> qui conforte s</w:t>
      </w:r>
      <w:r>
        <w:t>a 1</w:t>
      </w:r>
      <w:r w:rsidRPr="003D0653">
        <w:rPr>
          <w:vertAlign w:val="superscript"/>
        </w:rPr>
        <w:t>ère</w:t>
      </w:r>
      <w:r w:rsidR="0074015E">
        <w:t xml:space="preserve"> place devant l’Allemagne (9,9</w:t>
      </w:r>
      <w:r>
        <w:t>% des ex</w:t>
      </w:r>
      <w:r w:rsidR="0074015E">
        <w:t>portations)</w:t>
      </w:r>
      <w:r w:rsidR="00353067">
        <w:t>,</w:t>
      </w:r>
      <w:r w:rsidR="0074015E">
        <w:t xml:space="preserve"> en progression de +15,8</w:t>
      </w:r>
      <w:r>
        <w:t>%. Parmi les</w:t>
      </w:r>
      <w:r w:rsidR="00676621">
        <w:t xml:space="preserve"> pays européens figurant dans le top</w:t>
      </w:r>
      <w:r>
        <w:t xml:space="preserve"> 10 </w:t>
      </w:r>
      <w:r w:rsidR="00676621">
        <w:t xml:space="preserve">des </w:t>
      </w:r>
      <w:r>
        <w:t>clients</w:t>
      </w:r>
      <w:r w:rsidR="00676621">
        <w:t xml:space="preserve"> de la France, les plus fortes progressions concernent</w:t>
      </w:r>
      <w:r>
        <w:t> : l</w:t>
      </w:r>
      <w:r w:rsidR="00676621">
        <w:t>’</w:t>
      </w:r>
      <w:r w:rsidR="0074015E">
        <w:t>Espagne (4</w:t>
      </w:r>
      <w:r w:rsidR="0074015E" w:rsidRPr="0074015E">
        <w:rPr>
          <w:vertAlign w:val="superscript"/>
        </w:rPr>
        <w:t>ème</w:t>
      </w:r>
      <w:r w:rsidR="007409C9">
        <w:t xml:space="preserve"> client, 8,3% des </w:t>
      </w:r>
      <w:r w:rsidR="0074015E">
        <w:t>exportations) en hausse de +34,8% et les Pays-Bas (7</w:t>
      </w:r>
      <w:r w:rsidR="0074015E" w:rsidRPr="0074015E">
        <w:rPr>
          <w:vertAlign w:val="superscript"/>
        </w:rPr>
        <w:t>ème</w:t>
      </w:r>
      <w:r w:rsidR="00676621">
        <w:t xml:space="preserve"> client, 6,9% des exportations) en haus</w:t>
      </w:r>
      <w:r w:rsidR="00353067">
        <w:t>se de +34,6%. Côté</w:t>
      </w:r>
      <w:r w:rsidR="00676621">
        <w:t xml:space="preserve"> pays-tiers, les Etats-Unis demeurent le </w:t>
      </w:r>
      <w:r>
        <w:t>3</w:t>
      </w:r>
      <w:r w:rsidRPr="003D0653">
        <w:rPr>
          <w:vertAlign w:val="superscript"/>
        </w:rPr>
        <w:t>ème</w:t>
      </w:r>
      <w:r w:rsidR="00676621">
        <w:t xml:space="preserve"> client (8,5</w:t>
      </w:r>
      <w:r>
        <w:t>% des exp</w:t>
      </w:r>
      <w:r w:rsidR="00676621">
        <w:t xml:space="preserve">ortations) en progression de +20,5%. Les exportations françaises vers le Royaume-Uni </w:t>
      </w:r>
      <w:r w:rsidR="00EE7EC0">
        <w:t>(6</w:t>
      </w:r>
      <w:r w:rsidR="00EE7EC0" w:rsidRPr="00EE7EC0">
        <w:rPr>
          <w:vertAlign w:val="superscript"/>
        </w:rPr>
        <w:t>ème</w:t>
      </w:r>
      <w:r w:rsidR="00EE7EC0">
        <w:t xml:space="preserve"> client, 7,2% des exportations) ont progressé de +13,2%. Parmi les 10 premiers clients, les exportations françaises ne baissent qu’à destination de</w:t>
      </w:r>
      <w:r>
        <w:t xml:space="preserve"> la Chine (8</w:t>
      </w:r>
      <w:r w:rsidRPr="003D0653">
        <w:rPr>
          <w:vertAlign w:val="superscript"/>
        </w:rPr>
        <w:t>ème</w:t>
      </w:r>
      <w:r w:rsidR="00EE7EC0">
        <w:t xml:space="preserve"> client, 4,0% des exportations), baisse sensible de -16,4</w:t>
      </w:r>
      <w:r>
        <w:t>%</w:t>
      </w:r>
      <w:r w:rsidR="00353067">
        <w:t>, amplifi</w:t>
      </w:r>
      <w:r w:rsidR="00EE7EC0">
        <w:t>ée avec une baisse de -28,6% des exportations sur Hong-K</w:t>
      </w:r>
      <w:r w:rsidR="00353067">
        <w:t>ong</w:t>
      </w:r>
      <w:r>
        <w:t xml:space="preserve">. </w:t>
      </w:r>
      <w:r w:rsidR="00EE7EC0">
        <w:t xml:space="preserve">A noter la très forte progression des exportations sur le Maroc (+192,6%) qui sur un an gagne 10 places pour rentrer dans le top 10 en prenant la place du Japon, </w:t>
      </w:r>
      <w:r w:rsidR="00353067">
        <w:t xml:space="preserve">malgré une </w:t>
      </w:r>
      <w:r w:rsidR="00EE7EC0">
        <w:t xml:space="preserve">hausse de +18,3%. </w:t>
      </w:r>
      <w:r w:rsidR="00353067">
        <w:t>Ainsi, à l’exception notable, de la Chine et de Hong-Kong, l</w:t>
      </w:r>
      <w:r>
        <w:t xml:space="preserve">es exportations </w:t>
      </w:r>
      <w:r w:rsidR="00353067">
        <w:t>françaises progressent à destination des 3</w:t>
      </w:r>
      <w:r>
        <w:t>0 premiers clients de la France.</w:t>
      </w:r>
    </w:p>
    <w:p w14:paraId="39F8E6CA" w14:textId="77777777" w:rsidR="00665D80" w:rsidRDefault="00665D80" w:rsidP="00665D80">
      <w:pPr>
        <w:spacing w:line="259" w:lineRule="auto"/>
        <w:jc w:val="both"/>
        <w:rPr>
          <w:highlight w:val="green"/>
        </w:rPr>
      </w:pPr>
    </w:p>
    <w:p w14:paraId="1CBAAFEC" w14:textId="4B60D788" w:rsidR="00665D80" w:rsidRPr="0086447F" w:rsidRDefault="008305FC" w:rsidP="00665D80">
      <w:pPr>
        <w:spacing w:line="259" w:lineRule="auto"/>
        <w:jc w:val="both"/>
        <w:rPr>
          <w:highlight w:val="green"/>
        </w:rPr>
      </w:pPr>
      <w:r>
        <w:rPr>
          <w:noProof/>
          <w:lang w:eastAsia="fr-FR"/>
        </w:rPr>
        <w:drawing>
          <wp:inline distT="0" distB="0" distL="0" distR="0" wp14:anchorId="5D39533F" wp14:editId="66870934">
            <wp:extent cx="6619875" cy="3133725"/>
            <wp:effectExtent l="0" t="0" r="9525" b="9525"/>
            <wp:docPr id="2" name="Graphique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E7FC5D4" w14:textId="77777777" w:rsidR="00665D80" w:rsidRDefault="00665D80" w:rsidP="009D6B28">
      <w:pPr>
        <w:spacing w:line="259" w:lineRule="auto"/>
        <w:jc w:val="both"/>
      </w:pPr>
    </w:p>
    <w:p w14:paraId="255C1576" w14:textId="5DD2C3DA" w:rsidR="00A70BA5" w:rsidRDefault="004674EB" w:rsidP="009D6B28">
      <w:pPr>
        <w:spacing w:line="259" w:lineRule="auto"/>
        <w:jc w:val="both"/>
      </w:pPr>
      <w:r>
        <w:rPr>
          <w:b/>
        </w:rPr>
        <w:lastRenderedPageBreak/>
        <w:t>S</w:t>
      </w:r>
      <w:r w:rsidRPr="004674EB">
        <w:rPr>
          <w:b/>
        </w:rPr>
        <w:t>ur les neuf premiers mois de 2022</w:t>
      </w:r>
      <w:r>
        <w:rPr>
          <w:b/>
        </w:rPr>
        <w:t>, t</w:t>
      </w:r>
      <w:r w:rsidR="008D6003">
        <w:rPr>
          <w:b/>
        </w:rPr>
        <w:t xml:space="preserve">rois postes pèsent pour près de 50% </w:t>
      </w:r>
      <w:r w:rsidR="00DA5D9D">
        <w:rPr>
          <w:b/>
        </w:rPr>
        <w:t xml:space="preserve">en valeur </w:t>
      </w:r>
      <w:r w:rsidR="008D6003">
        <w:rPr>
          <w:b/>
        </w:rPr>
        <w:t>dans les exportations françai</w:t>
      </w:r>
      <w:r w:rsidR="0039573F" w:rsidRPr="00D8582D">
        <w:rPr>
          <w:b/>
        </w:rPr>
        <w:t>ses</w:t>
      </w:r>
      <w:r w:rsidR="008D6003">
        <w:rPr>
          <w:b/>
        </w:rPr>
        <w:t xml:space="preserve"> : </w:t>
      </w:r>
      <w:r w:rsidR="008D6003" w:rsidRPr="00836CDD">
        <w:rPr>
          <w:b/>
          <w:i/>
        </w:rPr>
        <w:t>Boissons et alcool</w:t>
      </w:r>
      <w:r w:rsidR="00A90763">
        <w:rPr>
          <w:b/>
          <w:i/>
        </w:rPr>
        <w:t>s</w:t>
      </w:r>
      <w:r w:rsidR="00353067">
        <w:rPr>
          <w:b/>
        </w:rPr>
        <w:t xml:space="preserve"> (25,8</w:t>
      </w:r>
      <w:r w:rsidR="008D6003">
        <w:rPr>
          <w:b/>
        </w:rPr>
        <w:t xml:space="preserve">% des exportations), </w:t>
      </w:r>
      <w:r w:rsidR="00353067" w:rsidRPr="00353067">
        <w:rPr>
          <w:b/>
          <w:i/>
        </w:rPr>
        <w:t>Céréales</w:t>
      </w:r>
      <w:r w:rsidR="00353067">
        <w:rPr>
          <w:b/>
        </w:rPr>
        <w:t xml:space="preserve"> (13,8</w:t>
      </w:r>
      <w:r w:rsidR="00353067" w:rsidRPr="00353067">
        <w:rPr>
          <w:b/>
        </w:rPr>
        <w:t>%)</w:t>
      </w:r>
      <w:r w:rsidR="001740CB">
        <w:rPr>
          <w:b/>
        </w:rPr>
        <w:t xml:space="preserve"> et </w:t>
      </w:r>
      <w:r w:rsidR="008D6003" w:rsidRPr="00836CDD">
        <w:rPr>
          <w:b/>
          <w:i/>
        </w:rPr>
        <w:t>Lait, produits laitiers, œufs</w:t>
      </w:r>
      <w:r w:rsidR="008D6003">
        <w:rPr>
          <w:b/>
        </w:rPr>
        <w:t xml:space="preserve"> (</w:t>
      </w:r>
      <w:r w:rsidR="001740CB">
        <w:rPr>
          <w:b/>
        </w:rPr>
        <w:t>9,2</w:t>
      </w:r>
      <w:r w:rsidR="00C811E4">
        <w:rPr>
          <w:b/>
        </w:rPr>
        <w:t>%</w:t>
      </w:r>
      <w:r w:rsidR="001740CB">
        <w:rPr>
          <w:b/>
        </w:rPr>
        <w:t>)</w:t>
      </w:r>
      <w:r w:rsidR="00C811E4">
        <w:rPr>
          <w:b/>
        </w:rPr>
        <w:t>.</w:t>
      </w:r>
      <w:r w:rsidR="00CE341B" w:rsidRPr="00D8582D">
        <w:rPr>
          <w:b/>
        </w:rPr>
        <w:t xml:space="preserve"> </w:t>
      </w:r>
      <w:r w:rsidR="001740CB">
        <w:t xml:space="preserve">Les exportations sur le poste </w:t>
      </w:r>
      <w:r w:rsidR="001740CB" w:rsidRPr="001740CB">
        <w:rPr>
          <w:i/>
        </w:rPr>
        <w:t>Boissons et alcools</w:t>
      </w:r>
      <w:r w:rsidR="001740CB" w:rsidRPr="001740CB">
        <w:t xml:space="preserve"> </w:t>
      </w:r>
      <w:r w:rsidR="001740CB">
        <w:t>progressent de +13,4% a</w:t>
      </w:r>
      <w:r w:rsidR="00C811E4" w:rsidRPr="00C811E4">
        <w:t>près</w:t>
      </w:r>
      <w:r w:rsidR="001740CB">
        <w:t xml:space="preserve"> s’être</w:t>
      </w:r>
      <w:r w:rsidR="00C811E4">
        <w:t xml:space="preserve"> fortement </w:t>
      </w:r>
      <w:r w:rsidR="001740CB">
        <w:t xml:space="preserve">redressées (+28,9%) en 2021, l’année 2020 </w:t>
      </w:r>
      <w:r w:rsidR="00AA24C2">
        <w:t xml:space="preserve">ayant </w:t>
      </w:r>
      <w:r w:rsidR="001740CB">
        <w:t xml:space="preserve">été marquée </w:t>
      </w:r>
      <w:r w:rsidR="00C811E4">
        <w:t xml:space="preserve">par </w:t>
      </w:r>
      <w:r w:rsidR="001740CB">
        <w:t xml:space="preserve">une baisse (-16,9%) par </w:t>
      </w:r>
      <w:r w:rsidR="00C811E4">
        <w:t xml:space="preserve">rapport à 2019. </w:t>
      </w:r>
      <w:r w:rsidR="001740CB">
        <w:t>L</w:t>
      </w:r>
      <w:r w:rsidR="001740CB" w:rsidRPr="001740CB">
        <w:t xml:space="preserve">es exportations sur le poste </w:t>
      </w:r>
      <w:r w:rsidR="001740CB" w:rsidRPr="001740CB">
        <w:rPr>
          <w:i/>
        </w:rPr>
        <w:t>Céréales</w:t>
      </w:r>
      <w:r w:rsidR="007409C9" w:rsidRPr="007409C9">
        <w:t>,</w:t>
      </w:r>
      <w:r w:rsidR="001740CB" w:rsidRPr="001740CB">
        <w:t xml:space="preserve"> </w:t>
      </w:r>
      <w:r w:rsidR="001740CB">
        <w:t>qui étaient en baisse de -10,3</w:t>
      </w:r>
      <w:r w:rsidR="001740CB" w:rsidRPr="001740CB">
        <w:t>% en 2021</w:t>
      </w:r>
      <w:r w:rsidR="001740CB">
        <w:t xml:space="preserve"> sur la période</w:t>
      </w:r>
      <w:r w:rsidR="001740CB" w:rsidRPr="001740CB">
        <w:t xml:space="preserve">, </w:t>
      </w:r>
      <w:r w:rsidR="001740CB">
        <w:t xml:space="preserve">progressent vigoureusement </w:t>
      </w:r>
      <w:r w:rsidR="001740CB" w:rsidRPr="001740CB">
        <w:t>de +7</w:t>
      </w:r>
      <w:r w:rsidR="001740CB">
        <w:t>2,8% sur les neuf premiers mois de 2022</w:t>
      </w:r>
      <w:r w:rsidR="001740CB" w:rsidRPr="001740CB">
        <w:t xml:space="preserve">. </w:t>
      </w:r>
      <w:r w:rsidR="00C811E4">
        <w:t xml:space="preserve">La progression des exportations sur le poste </w:t>
      </w:r>
      <w:r w:rsidR="00C811E4" w:rsidRPr="00836CDD">
        <w:rPr>
          <w:i/>
        </w:rPr>
        <w:t>Lait, produits laitiers, œufs</w:t>
      </w:r>
      <w:r>
        <w:t xml:space="preserve"> est plus soutenue en 2022 (+14,9%) qu’en 2021 (+</w:t>
      </w:r>
      <w:r w:rsidR="00C811E4" w:rsidRPr="006F2A43">
        <w:t>5</w:t>
      </w:r>
      <w:r>
        <w:t xml:space="preserve">,5%). </w:t>
      </w:r>
      <w:r w:rsidR="00C811E4" w:rsidRPr="006F2A43">
        <w:t>Derrière ces trois principaux postes, quatr</w:t>
      </w:r>
      <w:r>
        <w:t>e postes pèsent chacun entre 4</w:t>
      </w:r>
      <w:r w:rsidR="00875579">
        <w:t>%</w:t>
      </w:r>
      <w:r>
        <w:t xml:space="preserve"> et 7</w:t>
      </w:r>
      <w:r w:rsidR="00C811E4" w:rsidRPr="006F2A43">
        <w:t>%</w:t>
      </w:r>
      <w:r w:rsidR="006F2A43" w:rsidRPr="006F2A43">
        <w:t xml:space="preserve"> des exportations françaises</w:t>
      </w:r>
      <w:r w:rsidR="006F2A43">
        <w:t xml:space="preserve"> et progressent sensiblement</w:t>
      </w:r>
      <w:r w:rsidR="00A70BA5" w:rsidRPr="006F2A43">
        <w:t xml:space="preserve"> : </w:t>
      </w:r>
      <w:r w:rsidR="006F2A43" w:rsidRPr="00836CDD">
        <w:rPr>
          <w:i/>
        </w:rPr>
        <w:t xml:space="preserve">Préparations à </w:t>
      </w:r>
      <w:r w:rsidR="00875579" w:rsidRPr="00836CDD">
        <w:rPr>
          <w:i/>
        </w:rPr>
        <w:t>base de céréales, farines</w:t>
      </w:r>
      <w:r w:rsidR="00875579">
        <w:t xml:space="preserve"> +</w:t>
      </w:r>
      <w:r>
        <w:t>17,8</w:t>
      </w:r>
      <w:r w:rsidR="00875579">
        <w:t>%,</w:t>
      </w:r>
      <w:r w:rsidR="006F2A43">
        <w:t xml:space="preserve"> </w:t>
      </w:r>
      <w:r w:rsidR="006F2A43" w:rsidRPr="00836CDD">
        <w:rPr>
          <w:i/>
        </w:rPr>
        <w:t>Résidus des d’industries alimentaires</w:t>
      </w:r>
      <w:r w:rsidR="006F2A43" w:rsidRPr="006F2A43">
        <w:t xml:space="preserve"> (qui comprend le </w:t>
      </w:r>
      <w:r w:rsidR="006F2A43" w:rsidRPr="006F2A43">
        <w:rPr>
          <w:i/>
        </w:rPr>
        <w:t>Pet Food</w:t>
      </w:r>
      <w:r w:rsidR="006F2A43" w:rsidRPr="006F2A43">
        <w:t xml:space="preserve">) </w:t>
      </w:r>
      <w:r w:rsidR="00A90763">
        <w:t>+</w:t>
      </w:r>
      <w:r>
        <w:t>16,2</w:t>
      </w:r>
      <w:r w:rsidR="00875579">
        <w:t>%,</w:t>
      </w:r>
      <w:r w:rsidR="006F2A43">
        <w:t xml:space="preserve"> </w:t>
      </w:r>
      <w:r w:rsidR="0039573F" w:rsidRPr="00836CDD">
        <w:rPr>
          <w:i/>
        </w:rPr>
        <w:t>V</w:t>
      </w:r>
      <w:r w:rsidR="00FB1FC1" w:rsidRPr="00836CDD">
        <w:rPr>
          <w:i/>
        </w:rPr>
        <w:t>iande</w:t>
      </w:r>
      <w:r w:rsidR="00772B26" w:rsidRPr="00836CDD">
        <w:rPr>
          <w:i/>
        </w:rPr>
        <w:t>s</w:t>
      </w:r>
      <w:r w:rsidR="006F2A43" w:rsidRPr="00836CDD">
        <w:rPr>
          <w:i/>
        </w:rPr>
        <w:t xml:space="preserve"> et abats</w:t>
      </w:r>
      <w:r w:rsidR="00772B26">
        <w:t xml:space="preserve"> </w:t>
      </w:r>
      <w:r w:rsidR="00A90763">
        <w:t>+</w:t>
      </w:r>
      <w:r>
        <w:t>13,9</w:t>
      </w:r>
      <w:r w:rsidR="006F2A43">
        <w:t xml:space="preserve">% et </w:t>
      </w:r>
      <w:r w:rsidR="0039573F" w:rsidRPr="00836CDD">
        <w:rPr>
          <w:i/>
        </w:rPr>
        <w:t>P</w:t>
      </w:r>
      <w:r w:rsidR="00A70BA5" w:rsidRPr="00836CDD">
        <w:rPr>
          <w:i/>
        </w:rPr>
        <w:t>réparation</w:t>
      </w:r>
      <w:r w:rsidR="0039573F" w:rsidRPr="00836CDD">
        <w:rPr>
          <w:i/>
        </w:rPr>
        <w:t>s</w:t>
      </w:r>
      <w:r w:rsidR="004351F5" w:rsidRPr="00836CDD">
        <w:rPr>
          <w:i/>
        </w:rPr>
        <w:t xml:space="preserve"> </w:t>
      </w:r>
      <w:r w:rsidR="006F2A43" w:rsidRPr="00836CDD">
        <w:rPr>
          <w:i/>
        </w:rPr>
        <w:t>alimentaires diverses</w:t>
      </w:r>
      <w:r>
        <w:t xml:space="preserve"> +5,2</w:t>
      </w:r>
      <w:r w:rsidR="006F2A43">
        <w:t>%</w:t>
      </w:r>
      <w:r w:rsidR="00EF6CE3">
        <w:t>.</w:t>
      </w:r>
      <w:r w:rsidR="006F2A43">
        <w:t xml:space="preserve"> Parmi les postes pesant chacun entre 2 et 4% des exportations françaises</w:t>
      </w:r>
      <w:r w:rsidR="00A90763">
        <w:t>,</w:t>
      </w:r>
      <w:r w:rsidR="006F2A43">
        <w:t xml:space="preserve"> les plus fortes progressions concernent les postes </w:t>
      </w:r>
      <w:r w:rsidR="006F2A43" w:rsidRPr="00836CDD">
        <w:rPr>
          <w:i/>
        </w:rPr>
        <w:t>Graisses et huiles animales ou végétales</w:t>
      </w:r>
      <w:r>
        <w:t xml:space="preserve"> (+63,4</w:t>
      </w:r>
      <w:r w:rsidR="006F2A43">
        <w:t>%) et</w:t>
      </w:r>
      <w:r w:rsidR="009F33D4">
        <w:t xml:space="preserve"> </w:t>
      </w:r>
      <w:r w:rsidRPr="004674EB">
        <w:rPr>
          <w:i/>
        </w:rPr>
        <w:t>Sucre et Sucreries</w:t>
      </w:r>
      <w:r>
        <w:t xml:space="preserve"> (+43,3%). Sur la période considérée, seul</w:t>
      </w:r>
      <w:r w:rsidR="00995954">
        <w:t>es</w:t>
      </w:r>
      <w:r>
        <w:t xml:space="preserve"> les exportations sur le poste </w:t>
      </w:r>
      <w:r w:rsidRPr="004674EB">
        <w:rPr>
          <w:i/>
        </w:rPr>
        <w:t>Café, thé, épices</w:t>
      </w:r>
      <w:r>
        <w:t xml:space="preserve"> </w:t>
      </w:r>
      <w:r w:rsidR="00DB12E7">
        <w:t xml:space="preserve">(1,6% des exportations) </w:t>
      </w:r>
      <w:r>
        <w:t>sont en baisse (-4,2%)</w:t>
      </w:r>
      <w:r w:rsidR="009F33D4">
        <w:t>.</w:t>
      </w:r>
    </w:p>
    <w:p w14:paraId="5FBF78D6" w14:textId="77777777" w:rsidR="00665D80" w:rsidRPr="00C811E4" w:rsidRDefault="00665D80" w:rsidP="009D6B28">
      <w:pPr>
        <w:spacing w:line="259" w:lineRule="auto"/>
        <w:jc w:val="both"/>
        <w:rPr>
          <w:b/>
        </w:rPr>
      </w:pPr>
    </w:p>
    <w:p w14:paraId="664D6D59" w14:textId="2AF306D9" w:rsidR="00772B26" w:rsidRPr="002E70C4" w:rsidRDefault="008305FC" w:rsidP="009D6B28">
      <w:pPr>
        <w:spacing w:line="259" w:lineRule="auto"/>
        <w:jc w:val="both"/>
      </w:pPr>
      <w:r w:rsidRPr="008305FC">
        <w:rPr>
          <w:noProof/>
          <w:lang w:eastAsia="fr-FR"/>
        </w:rPr>
        <w:drawing>
          <wp:inline distT="0" distB="0" distL="0" distR="0" wp14:anchorId="32A920C2" wp14:editId="54474914">
            <wp:extent cx="6645910" cy="3077766"/>
            <wp:effectExtent l="0" t="0" r="2540" b="889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7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3B4A7" w14:textId="4066FF5B" w:rsidR="0086447F" w:rsidRDefault="0086447F" w:rsidP="009D6B28">
      <w:pPr>
        <w:spacing w:line="259" w:lineRule="auto"/>
        <w:jc w:val="both"/>
      </w:pPr>
    </w:p>
    <w:p w14:paraId="4F8BA2E7" w14:textId="77777777" w:rsidR="00665D80" w:rsidRPr="0086447F" w:rsidRDefault="00665D80" w:rsidP="009D6B28">
      <w:pPr>
        <w:spacing w:line="259" w:lineRule="auto"/>
        <w:jc w:val="both"/>
      </w:pPr>
    </w:p>
    <w:p w14:paraId="62C0B18E" w14:textId="2ECE0512" w:rsidR="009F33D4" w:rsidRPr="00D86140" w:rsidRDefault="009F33D4" w:rsidP="009F33D4">
      <w:pPr>
        <w:spacing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Les im</w:t>
      </w:r>
      <w:r w:rsidRPr="00D86140">
        <w:rPr>
          <w:b/>
          <w:sz w:val="28"/>
          <w:szCs w:val="28"/>
        </w:rPr>
        <w:t>portations</w:t>
      </w:r>
    </w:p>
    <w:p w14:paraId="1568758C" w14:textId="77777777" w:rsidR="009F33D4" w:rsidRDefault="009F33D4" w:rsidP="009F33D4">
      <w:pPr>
        <w:spacing w:line="259" w:lineRule="auto"/>
        <w:jc w:val="both"/>
      </w:pPr>
    </w:p>
    <w:p w14:paraId="568BEBC6" w14:textId="7E06D418" w:rsidR="00F35E50" w:rsidRPr="002E70C4" w:rsidRDefault="00F35E50" w:rsidP="00F35E50">
      <w:pPr>
        <w:spacing w:line="259" w:lineRule="auto"/>
        <w:jc w:val="both"/>
      </w:pPr>
      <w:r w:rsidRPr="00D8582D">
        <w:rPr>
          <w:b/>
        </w:rPr>
        <w:t xml:space="preserve">Sur les neuf premiers </w:t>
      </w:r>
      <w:r w:rsidR="008D395B">
        <w:rPr>
          <w:b/>
        </w:rPr>
        <w:t>mois de l’année 2022</w:t>
      </w:r>
      <w:r w:rsidRPr="00D8582D">
        <w:rPr>
          <w:b/>
        </w:rPr>
        <w:t>, l</w:t>
      </w:r>
      <w:r>
        <w:rPr>
          <w:b/>
        </w:rPr>
        <w:t>es importations franç</w:t>
      </w:r>
      <w:r w:rsidRPr="00D8582D">
        <w:rPr>
          <w:b/>
        </w:rPr>
        <w:t>aises de produits agricoles et agroalimentaires progresse</w:t>
      </w:r>
      <w:r>
        <w:rPr>
          <w:b/>
        </w:rPr>
        <w:t>nt</w:t>
      </w:r>
      <w:r w:rsidRPr="00D8582D">
        <w:rPr>
          <w:b/>
        </w:rPr>
        <w:t xml:space="preserve"> </w:t>
      </w:r>
      <w:r w:rsidR="008D395B">
        <w:rPr>
          <w:b/>
        </w:rPr>
        <w:t>fortement de +19,7%</w:t>
      </w:r>
      <w:r w:rsidR="00DA5D9D">
        <w:rPr>
          <w:b/>
        </w:rPr>
        <w:t xml:space="preserve"> en valeur</w:t>
      </w:r>
      <w:r w:rsidR="008D395B">
        <w:rPr>
          <w:b/>
        </w:rPr>
        <w:t>, progression qui s’accélère puisque sur la même période en 2021</w:t>
      </w:r>
      <w:r w:rsidR="00995954">
        <w:rPr>
          <w:b/>
        </w:rPr>
        <w:t>,</w:t>
      </w:r>
      <w:r w:rsidR="008D395B">
        <w:rPr>
          <w:b/>
        </w:rPr>
        <w:t xml:space="preserve"> elle n’avait été que de +8,5% par rapport à 2020. </w:t>
      </w:r>
      <w:r w:rsidR="00536000">
        <w:t>Les importations françaises en provenance de</w:t>
      </w:r>
      <w:r w:rsidR="008D395B">
        <w:t>s pays de l’Union européenne (65,3</w:t>
      </w:r>
      <w:r w:rsidR="00536000">
        <w:t>% des importations françaises) progressent moins fortement que celles en provenance des</w:t>
      </w:r>
      <w:r w:rsidR="008D395B">
        <w:t xml:space="preserve"> pays tiers, respectivement +17,2% et +24,8</w:t>
      </w:r>
      <w:r w:rsidR="00536000">
        <w:t xml:space="preserve">%. La </w:t>
      </w:r>
      <w:r w:rsidR="008D395B">
        <w:t xml:space="preserve">progression concerne </w:t>
      </w:r>
      <w:r w:rsidR="00880BF1">
        <w:t xml:space="preserve">l’ensemble des </w:t>
      </w:r>
      <w:r w:rsidR="00536000">
        <w:t>10 principaux</w:t>
      </w:r>
      <w:r>
        <w:t xml:space="preserve"> pays</w:t>
      </w:r>
      <w:r w:rsidR="00536000">
        <w:t xml:space="preserve"> fournisseurs</w:t>
      </w:r>
      <w:r w:rsidR="00A47828">
        <w:t>,</w:t>
      </w:r>
      <w:r w:rsidR="00536000">
        <w:t xml:space="preserve"> essentiellement européen</w:t>
      </w:r>
      <w:r w:rsidR="00A47828">
        <w:t>s,</w:t>
      </w:r>
      <w:r w:rsidR="008D395B">
        <w:t xml:space="preserve"> avec en tête l’Espagne (13,0</w:t>
      </w:r>
      <w:r w:rsidR="00536000">
        <w:t xml:space="preserve">% des importations françaises) </w:t>
      </w:r>
      <w:r w:rsidR="008D395B">
        <w:t>en progression de +12,7</w:t>
      </w:r>
      <w:r w:rsidR="00A47828">
        <w:t>%</w:t>
      </w:r>
      <w:r w:rsidR="00A90763">
        <w:t>,</w:t>
      </w:r>
      <w:r w:rsidR="00A47828">
        <w:t xml:space="preserve"> devant la Belgique (11,3% des importation</w:t>
      </w:r>
      <w:r w:rsidR="00880BF1">
        <w:t>s</w:t>
      </w:r>
      <w:r w:rsidR="00726159">
        <w:t>) +18,6%, les Pays-Bas (11,2% des importations) +22,8%, l’Allemagne (9,5</w:t>
      </w:r>
      <w:r w:rsidR="00A47828">
        <w:t>% des importatio</w:t>
      </w:r>
      <w:r w:rsidR="00726159">
        <w:t>ns) +11,5% et l’Italie (7,9% des importations) +11,4</w:t>
      </w:r>
      <w:r w:rsidR="00A47828">
        <w:t xml:space="preserve">%. </w:t>
      </w:r>
      <w:r w:rsidR="007E0179">
        <w:t>Les importations en provenance de l</w:t>
      </w:r>
      <w:r w:rsidR="00A47828">
        <w:t xml:space="preserve">a Pologne </w:t>
      </w:r>
      <w:r w:rsidR="007E0179">
        <w:t>(7</w:t>
      </w:r>
      <w:r w:rsidR="007E0179" w:rsidRPr="007E0179">
        <w:rPr>
          <w:vertAlign w:val="superscript"/>
        </w:rPr>
        <w:t>ème</w:t>
      </w:r>
      <w:r w:rsidR="00995954">
        <w:t xml:space="preserve"> fournisseur), du</w:t>
      </w:r>
      <w:r w:rsidR="007E0179">
        <w:t xml:space="preserve"> Brésil (9</w:t>
      </w:r>
      <w:r w:rsidR="007E0179" w:rsidRPr="007E0179">
        <w:rPr>
          <w:vertAlign w:val="superscript"/>
        </w:rPr>
        <w:t>ème</w:t>
      </w:r>
      <w:r w:rsidR="007E0179">
        <w:t xml:space="preserve"> fournisseur) </w:t>
      </w:r>
      <w:r w:rsidR="00995954">
        <w:t>et du</w:t>
      </w:r>
      <w:r w:rsidR="00A47828">
        <w:t xml:space="preserve"> Maroc</w:t>
      </w:r>
      <w:r w:rsidR="007E0179">
        <w:t xml:space="preserve"> (10</w:t>
      </w:r>
      <w:r w:rsidR="007E0179" w:rsidRPr="007E0179">
        <w:rPr>
          <w:vertAlign w:val="superscript"/>
        </w:rPr>
        <w:t>ème</w:t>
      </w:r>
      <w:r w:rsidR="007E0179">
        <w:t xml:space="preserve"> fournisseur) connaissent les plus fortes hausses, respectivemen</w:t>
      </w:r>
      <w:r w:rsidR="00995954">
        <w:t>t de +30,5</w:t>
      </w:r>
      <w:r w:rsidR="007E0179">
        <w:t xml:space="preserve">%, </w:t>
      </w:r>
      <w:r w:rsidR="00995954">
        <w:t>+</w:t>
      </w:r>
      <w:r w:rsidR="007E0179">
        <w:t xml:space="preserve">48,1% et </w:t>
      </w:r>
      <w:r w:rsidR="00995954">
        <w:t>+</w:t>
      </w:r>
      <w:r w:rsidR="007E0179">
        <w:t xml:space="preserve">28,7%. La progression des importations en provenance du </w:t>
      </w:r>
      <w:r w:rsidR="00880BF1">
        <w:t>Royaume-Uni (6</w:t>
      </w:r>
      <w:r w:rsidR="00880BF1" w:rsidRPr="00880BF1">
        <w:rPr>
          <w:vertAlign w:val="superscript"/>
        </w:rPr>
        <w:t>ème</w:t>
      </w:r>
      <w:r w:rsidR="007E0179">
        <w:t xml:space="preserve"> fournisseur, 6,3</w:t>
      </w:r>
      <w:r w:rsidR="00880BF1">
        <w:t>% des importation</w:t>
      </w:r>
      <w:r w:rsidR="00A90763">
        <w:t xml:space="preserve">s) </w:t>
      </w:r>
      <w:r w:rsidR="007E0179">
        <w:t>reste forte (+27</w:t>
      </w:r>
      <w:r w:rsidR="007409C9">
        <w:t>,8%) mais ralentit par rapport à la hausse en</w:t>
      </w:r>
      <w:r w:rsidR="00323AFB">
        <w:t xml:space="preserve"> </w:t>
      </w:r>
      <w:r w:rsidR="007409C9">
        <w:t>2021</w:t>
      </w:r>
      <w:r w:rsidR="00323AFB">
        <w:t xml:space="preserve"> </w:t>
      </w:r>
      <w:r w:rsidR="00A72608">
        <w:t xml:space="preserve">(+55,2%). </w:t>
      </w:r>
      <w:r w:rsidR="00995954">
        <w:t xml:space="preserve">Le </w:t>
      </w:r>
      <w:r w:rsidR="00995954" w:rsidRPr="00995954">
        <w:t xml:space="preserve">dédouanement </w:t>
      </w:r>
      <w:r w:rsidR="00995954">
        <w:t xml:space="preserve">des importations du Royaume-Uni dans le </w:t>
      </w:r>
      <w:r w:rsidR="00DA5D9D">
        <w:t>premier</w:t>
      </w:r>
      <w:r w:rsidR="00995954">
        <w:t xml:space="preserve"> pays d’</w:t>
      </w:r>
      <w:r w:rsidR="00995954" w:rsidRPr="00995954">
        <w:t xml:space="preserve">entrée dans l’Union européenne </w:t>
      </w:r>
      <w:r w:rsidR="00995954">
        <w:t>doi</w:t>
      </w:r>
      <w:r w:rsidR="00323AFB">
        <w:t xml:space="preserve">t cependant en partie expliquer </w:t>
      </w:r>
      <w:r w:rsidR="00995954">
        <w:t xml:space="preserve">ces hausses </w:t>
      </w:r>
      <w:r w:rsidR="00A72608">
        <w:t>dans les statistiques</w:t>
      </w:r>
      <w:r w:rsidR="00995954">
        <w:t xml:space="preserve"> douanières françaises</w:t>
      </w:r>
      <w:r>
        <w:t>.</w:t>
      </w:r>
    </w:p>
    <w:p w14:paraId="21E79848" w14:textId="77777777" w:rsidR="00F35E50" w:rsidRDefault="00F35E50" w:rsidP="009F33D4">
      <w:pPr>
        <w:spacing w:line="259" w:lineRule="auto"/>
        <w:jc w:val="both"/>
      </w:pPr>
    </w:p>
    <w:p w14:paraId="58B019D2" w14:textId="4DCB6659" w:rsidR="00A70BA5" w:rsidRDefault="00A70BA5" w:rsidP="009D6B28">
      <w:pPr>
        <w:spacing w:line="259" w:lineRule="auto"/>
        <w:jc w:val="both"/>
      </w:pPr>
    </w:p>
    <w:p w14:paraId="43E5E6AE" w14:textId="251BC828" w:rsidR="00F634F4" w:rsidRPr="002E70C4" w:rsidRDefault="008305FC" w:rsidP="009D6B28">
      <w:pPr>
        <w:spacing w:line="259" w:lineRule="auto"/>
        <w:jc w:val="both"/>
      </w:pPr>
      <w:r>
        <w:rPr>
          <w:noProof/>
          <w:lang w:eastAsia="fr-FR"/>
        </w:rPr>
        <w:lastRenderedPageBreak/>
        <w:drawing>
          <wp:inline distT="0" distB="0" distL="0" distR="0" wp14:anchorId="35DA74D5" wp14:editId="42275F7B">
            <wp:extent cx="6600825" cy="3333750"/>
            <wp:effectExtent l="0" t="0" r="9525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B86CD9E" w14:textId="77777777" w:rsidR="008305FC" w:rsidRDefault="008305FC" w:rsidP="00937CB0">
      <w:pPr>
        <w:spacing w:line="259" w:lineRule="auto"/>
        <w:jc w:val="both"/>
        <w:rPr>
          <w:b/>
        </w:rPr>
      </w:pPr>
    </w:p>
    <w:p w14:paraId="5DBEF1CF" w14:textId="7BE56663" w:rsidR="0006724C" w:rsidRPr="00937CB0" w:rsidRDefault="00853292" w:rsidP="00937CB0">
      <w:pPr>
        <w:spacing w:line="259" w:lineRule="auto"/>
        <w:jc w:val="both"/>
      </w:pPr>
      <w:r>
        <w:rPr>
          <w:b/>
        </w:rPr>
        <w:t>L</w:t>
      </w:r>
      <w:r w:rsidR="00F35E50" w:rsidRPr="00D8582D">
        <w:rPr>
          <w:b/>
        </w:rPr>
        <w:t xml:space="preserve">es importations </w:t>
      </w:r>
      <w:r w:rsidR="00F35E50">
        <w:rPr>
          <w:b/>
        </w:rPr>
        <w:t>franç</w:t>
      </w:r>
      <w:r w:rsidR="00F35E50" w:rsidRPr="00D8582D">
        <w:rPr>
          <w:b/>
        </w:rPr>
        <w:t>aises</w:t>
      </w:r>
      <w:r w:rsidR="00F35E50">
        <w:rPr>
          <w:b/>
        </w:rPr>
        <w:t xml:space="preserve"> de produits agricoles et agroalimentaires sont variées</w:t>
      </w:r>
      <w:r w:rsidR="00A90763">
        <w:rPr>
          <w:b/>
        </w:rPr>
        <w:t>,</w:t>
      </w:r>
      <w:r w:rsidR="00995954">
        <w:rPr>
          <w:b/>
        </w:rPr>
        <w:t xml:space="preserve"> 13</w:t>
      </w:r>
      <w:r w:rsidR="00F35E50">
        <w:rPr>
          <w:b/>
        </w:rPr>
        <w:t xml:space="preserve"> </w:t>
      </w:r>
      <w:r w:rsidR="00995954">
        <w:rPr>
          <w:b/>
        </w:rPr>
        <w:t>postes pesant en 4 et 9</w:t>
      </w:r>
      <w:r w:rsidR="00F35E50">
        <w:rPr>
          <w:b/>
        </w:rPr>
        <w:t>%</w:t>
      </w:r>
      <w:r w:rsidR="00DA5D9D">
        <w:rPr>
          <w:b/>
        </w:rPr>
        <w:t xml:space="preserve"> en valeur</w:t>
      </w:r>
      <w:r w:rsidR="00F35E50">
        <w:rPr>
          <w:b/>
        </w:rPr>
        <w:t xml:space="preserve">. Le </w:t>
      </w:r>
      <w:r>
        <w:rPr>
          <w:b/>
        </w:rPr>
        <w:t xml:space="preserve">poste </w:t>
      </w:r>
      <w:r w:rsidRPr="00853292">
        <w:rPr>
          <w:b/>
          <w:i/>
        </w:rPr>
        <w:t>Viandes et abats</w:t>
      </w:r>
      <w:r>
        <w:rPr>
          <w:b/>
        </w:rPr>
        <w:t xml:space="preserve"> (8,5% des importations) en progression de +36,7% devient le principal poste d’importation devant</w:t>
      </w:r>
      <w:r w:rsidR="00F35E50">
        <w:rPr>
          <w:b/>
        </w:rPr>
        <w:t xml:space="preserve"> le poste </w:t>
      </w:r>
      <w:r w:rsidR="00F35E50" w:rsidRPr="00836CDD">
        <w:rPr>
          <w:b/>
          <w:i/>
        </w:rPr>
        <w:t>Fruit</w:t>
      </w:r>
      <w:r w:rsidR="00836CDD">
        <w:rPr>
          <w:b/>
          <w:i/>
        </w:rPr>
        <w:t>s</w:t>
      </w:r>
      <w:r>
        <w:rPr>
          <w:b/>
        </w:rPr>
        <w:t xml:space="preserve"> (8,3</w:t>
      </w:r>
      <w:r w:rsidR="00F35E50">
        <w:rPr>
          <w:b/>
        </w:rPr>
        <w:t xml:space="preserve">% des importations) en progression </w:t>
      </w:r>
      <w:r>
        <w:rPr>
          <w:b/>
        </w:rPr>
        <w:t>de +</w:t>
      </w:r>
      <w:r w:rsidR="008D4D05">
        <w:rPr>
          <w:b/>
        </w:rPr>
        <w:t>4</w:t>
      </w:r>
      <w:r>
        <w:rPr>
          <w:b/>
        </w:rPr>
        <w:t>,3</w:t>
      </w:r>
      <w:r w:rsidR="008D4D05">
        <w:rPr>
          <w:b/>
        </w:rPr>
        <w:t xml:space="preserve">%. </w:t>
      </w:r>
      <w:r>
        <w:t>Les neuf</w:t>
      </w:r>
      <w:r w:rsidR="008D4D05" w:rsidRPr="00E85C68">
        <w:t xml:space="preserve"> postes suivant pèse</w:t>
      </w:r>
      <w:r w:rsidR="006B0F30">
        <w:t>nt</w:t>
      </w:r>
      <w:r>
        <w:t xml:space="preserve"> chacun entre 5</w:t>
      </w:r>
      <w:r w:rsidR="008D4D05" w:rsidRPr="00E85C68">
        <w:t xml:space="preserve">% et un peu plus de 8% </w:t>
      </w:r>
      <w:r w:rsidR="00F35E50" w:rsidRPr="00E85C68">
        <w:t>dans les</w:t>
      </w:r>
      <w:r w:rsidR="008D4D05" w:rsidRPr="00E85C68">
        <w:t xml:space="preserve"> importations françaises </w:t>
      </w:r>
      <w:r w:rsidR="006B0F30">
        <w:t>et progressent sensiblement</w:t>
      </w:r>
      <w:r w:rsidR="00836CDD">
        <w:t>,</w:t>
      </w:r>
      <w:r w:rsidR="008D4D05" w:rsidRPr="00E85C68">
        <w:t xml:space="preserve"> </w:t>
      </w:r>
      <w:r w:rsidR="00E85C68" w:rsidRPr="00836CDD">
        <w:rPr>
          <w:i/>
        </w:rPr>
        <w:t>Poissons et crustacés</w:t>
      </w:r>
      <w:r>
        <w:t xml:space="preserve"> +20</w:t>
      </w:r>
      <w:r w:rsidR="00E85C68">
        <w:t>,</w:t>
      </w:r>
      <w:r>
        <w:t>3</w:t>
      </w:r>
      <w:r w:rsidR="006B0F30">
        <w:t>%</w:t>
      </w:r>
      <w:r w:rsidR="00E85C68" w:rsidRPr="00E85C68">
        <w:t xml:space="preserve">, </w:t>
      </w:r>
      <w:r w:rsidRPr="00836CDD">
        <w:rPr>
          <w:i/>
        </w:rPr>
        <w:t>Lait, produits laitiers, œufs, miel</w:t>
      </w:r>
      <w:r w:rsidRPr="00E85C68">
        <w:t xml:space="preserve"> </w:t>
      </w:r>
      <w:r>
        <w:t>+43,0%</w:t>
      </w:r>
      <w:r w:rsidRPr="00E85C68">
        <w:t xml:space="preserve">, </w:t>
      </w:r>
      <w:r w:rsidR="00E85C68" w:rsidRPr="00836CDD">
        <w:rPr>
          <w:i/>
        </w:rPr>
        <w:t>Boissons et alcools</w:t>
      </w:r>
      <w:r w:rsidR="00E85C68" w:rsidRPr="00E85C68">
        <w:t xml:space="preserve"> </w:t>
      </w:r>
      <w:r w:rsidR="006B0F30">
        <w:t>+</w:t>
      </w:r>
      <w:r>
        <w:t>28,1</w:t>
      </w:r>
      <w:r w:rsidR="006B0F30">
        <w:t>%</w:t>
      </w:r>
      <w:r w:rsidR="00E85C68" w:rsidRPr="00E85C68">
        <w:t xml:space="preserve">, </w:t>
      </w:r>
      <w:r w:rsidR="00E85C68" w:rsidRPr="00836CDD">
        <w:rPr>
          <w:i/>
        </w:rPr>
        <w:t>Préparation</w:t>
      </w:r>
      <w:r w:rsidR="006B0F30" w:rsidRPr="00836CDD">
        <w:rPr>
          <w:i/>
        </w:rPr>
        <w:t>s</w:t>
      </w:r>
      <w:r w:rsidR="00E85C68" w:rsidRPr="00836CDD">
        <w:rPr>
          <w:i/>
        </w:rPr>
        <w:t xml:space="preserve"> à base de céréales, farines</w:t>
      </w:r>
      <w:r>
        <w:t xml:space="preserve"> +16,4</w:t>
      </w:r>
      <w:r w:rsidR="006B0F30">
        <w:t xml:space="preserve">%, </w:t>
      </w:r>
      <w:r w:rsidR="00E85C68" w:rsidRPr="00836CDD">
        <w:rPr>
          <w:i/>
        </w:rPr>
        <w:t>Préparations de légumes, de fruits</w:t>
      </w:r>
      <w:r w:rsidR="00E85C68" w:rsidRPr="00E85C68">
        <w:t xml:space="preserve"> </w:t>
      </w:r>
      <w:r>
        <w:t>+</w:t>
      </w:r>
      <w:r w:rsidR="006B0F30">
        <w:t>1</w:t>
      </w:r>
      <w:r>
        <w:t>1,5%,</w:t>
      </w:r>
      <w:r w:rsidR="006B0F30">
        <w:t xml:space="preserve"> </w:t>
      </w:r>
      <w:r w:rsidRPr="00836CDD">
        <w:rPr>
          <w:i/>
        </w:rPr>
        <w:t>Graisses et huiles animales et végétales</w:t>
      </w:r>
      <w:r>
        <w:t xml:space="preserve"> +</w:t>
      </w:r>
      <w:r w:rsidRPr="00937CB0">
        <w:t>5</w:t>
      </w:r>
      <w:r>
        <w:t xml:space="preserve">4,4%, </w:t>
      </w:r>
      <w:r w:rsidR="006B0F30" w:rsidRPr="00836CDD">
        <w:rPr>
          <w:i/>
        </w:rPr>
        <w:t>Résidus des d’industries alimentaires</w:t>
      </w:r>
      <w:r w:rsidR="006B0F30" w:rsidRPr="00937CB0">
        <w:t xml:space="preserve"> (qui comprend le </w:t>
      </w:r>
      <w:r w:rsidR="006B0F30" w:rsidRPr="00836CDD">
        <w:rPr>
          <w:i/>
        </w:rPr>
        <w:t>Pet Food</w:t>
      </w:r>
      <w:r w:rsidR="00A90763">
        <w:t>) +</w:t>
      </w:r>
      <w:r>
        <w:t>12,9</w:t>
      </w:r>
      <w:r w:rsidR="006B0F30" w:rsidRPr="00937CB0">
        <w:t xml:space="preserve">%,  </w:t>
      </w:r>
      <w:r w:rsidR="0026010F">
        <w:rPr>
          <w:i/>
        </w:rPr>
        <w:t>Légum</w:t>
      </w:r>
      <w:r w:rsidR="006B0F30" w:rsidRPr="00836CDD">
        <w:rPr>
          <w:i/>
        </w:rPr>
        <w:t>es</w:t>
      </w:r>
      <w:r w:rsidR="0026010F">
        <w:t xml:space="preserve"> +13,2%</w:t>
      </w:r>
      <w:r w:rsidR="006B0F30" w:rsidRPr="00937CB0">
        <w:t xml:space="preserve"> </w:t>
      </w:r>
      <w:r w:rsidR="00937CB0" w:rsidRPr="00937CB0">
        <w:t xml:space="preserve">et </w:t>
      </w:r>
      <w:r w:rsidR="0026010F" w:rsidRPr="0026010F">
        <w:rPr>
          <w:i/>
        </w:rPr>
        <w:t>Café, thé, épices</w:t>
      </w:r>
      <w:r w:rsidR="0026010F">
        <w:t xml:space="preserve"> +20,8%.</w:t>
      </w:r>
    </w:p>
    <w:p w14:paraId="78B16080" w14:textId="77777777" w:rsidR="00937CB0" w:rsidRPr="002E70C4" w:rsidRDefault="00937CB0" w:rsidP="00937CB0">
      <w:pPr>
        <w:spacing w:line="259" w:lineRule="auto"/>
        <w:jc w:val="both"/>
      </w:pPr>
    </w:p>
    <w:p w14:paraId="43BE7638" w14:textId="419B7FE9" w:rsidR="0077064D" w:rsidRDefault="00853292" w:rsidP="00772B26">
      <w:pPr>
        <w:spacing w:line="259" w:lineRule="auto"/>
        <w:jc w:val="both"/>
      </w:pPr>
      <w:r w:rsidRPr="00853292">
        <w:rPr>
          <w:noProof/>
          <w:lang w:eastAsia="fr-FR"/>
        </w:rPr>
        <w:drawing>
          <wp:inline distT="0" distB="0" distL="0" distR="0" wp14:anchorId="3F96D683" wp14:editId="60EA10C3">
            <wp:extent cx="6645910" cy="3197742"/>
            <wp:effectExtent l="0" t="0" r="2540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19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4F193" w14:textId="77777777" w:rsidR="008833A7" w:rsidRDefault="008833A7" w:rsidP="00772B26">
      <w:pPr>
        <w:spacing w:line="259" w:lineRule="auto"/>
        <w:jc w:val="both"/>
      </w:pPr>
    </w:p>
    <w:p w14:paraId="11D049B5" w14:textId="47D00689" w:rsidR="00937CB0" w:rsidRDefault="00937CB0">
      <w:pPr>
        <w:spacing w:after="160" w:line="259" w:lineRule="auto"/>
      </w:pPr>
      <w:r>
        <w:br w:type="page"/>
      </w:r>
    </w:p>
    <w:p w14:paraId="7EA855D4" w14:textId="66D59737" w:rsidR="008833A7" w:rsidRPr="00D86140" w:rsidRDefault="008833A7" w:rsidP="008833A7">
      <w:pPr>
        <w:spacing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La balance</w:t>
      </w:r>
      <w:r w:rsidR="007A0FD9">
        <w:rPr>
          <w:b/>
          <w:sz w:val="28"/>
          <w:szCs w:val="28"/>
        </w:rPr>
        <w:t xml:space="preserve"> commerciale</w:t>
      </w:r>
    </w:p>
    <w:p w14:paraId="305C3B9B" w14:textId="77777777" w:rsidR="007A0FD9" w:rsidRDefault="007A0FD9" w:rsidP="008833A7">
      <w:pPr>
        <w:spacing w:line="259" w:lineRule="auto"/>
        <w:jc w:val="both"/>
      </w:pPr>
    </w:p>
    <w:p w14:paraId="0DC06B15" w14:textId="0E7FF451" w:rsidR="002640A0" w:rsidRDefault="007936A2" w:rsidP="008833A7">
      <w:pPr>
        <w:spacing w:line="259" w:lineRule="auto"/>
        <w:jc w:val="both"/>
      </w:pPr>
      <w:r w:rsidRPr="007936A2">
        <w:rPr>
          <w:b/>
        </w:rPr>
        <w:t>Sur les ne</w:t>
      </w:r>
      <w:r w:rsidR="0026010F">
        <w:rPr>
          <w:b/>
        </w:rPr>
        <w:t>uf premiers mois de l’année 2022</w:t>
      </w:r>
      <w:r w:rsidRPr="007936A2">
        <w:rPr>
          <w:b/>
        </w:rPr>
        <w:t>, l’excédent de la balance commerciale française de produits agrico</w:t>
      </w:r>
      <w:r w:rsidR="0026010F">
        <w:rPr>
          <w:b/>
        </w:rPr>
        <w:t>les et agroalimentaires est de 6</w:t>
      </w:r>
      <w:r w:rsidRPr="007936A2">
        <w:rPr>
          <w:b/>
        </w:rPr>
        <w:t xml:space="preserve">,9 Md d’euros et </w:t>
      </w:r>
      <w:r w:rsidR="0026010F">
        <w:rPr>
          <w:b/>
        </w:rPr>
        <w:t>progresse fortement (+36,6%) par rapport à la même période de 2021 qui avait connu une progression du même ordre (+38,7%)</w:t>
      </w:r>
      <w:r w:rsidRPr="007936A2">
        <w:rPr>
          <w:b/>
        </w:rPr>
        <w:t>.</w:t>
      </w:r>
      <w:r>
        <w:t xml:space="preserve"> La balance commerciale est excédentaire </w:t>
      </w:r>
      <w:r w:rsidR="0026010F">
        <w:t>sur les pays tiers de 8,6</w:t>
      </w:r>
      <w:r>
        <w:t xml:space="preserve"> Md d’euros, excédent qui prog</w:t>
      </w:r>
      <w:r w:rsidR="0026010F">
        <w:t>resse de +</w:t>
      </w:r>
      <w:r>
        <w:t xml:space="preserve">3,9%. </w:t>
      </w:r>
      <w:r w:rsidR="009F31A1">
        <w:t xml:space="preserve">La balance commerciale </w:t>
      </w:r>
      <w:r w:rsidR="0026010F">
        <w:t>r</w:t>
      </w:r>
      <w:r w:rsidR="009F31A1">
        <w:t>est</w:t>
      </w:r>
      <w:r w:rsidR="0026010F">
        <w:t>e</w:t>
      </w:r>
      <w:r w:rsidR="009F31A1">
        <w:t xml:space="preserve"> déficitaire </w:t>
      </w:r>
      <w:r>
        <w:t>sur les pays de l’Union européenne</w:t>
      </w:r>
      <w:r w:rsidR="0026010F">
        <w:t xml:space="preserve"> de -1,7</w:t>
      </w:r>
      <w:r w:rsidR="009F31A1">
        <w:t xml:space="preserve"> Md d’euros,</w:t>
      </w:r>
      <w:r w:rsidR="0026010F">
        <w:t xml:space="preserve"> déficit qui</w:t>
      </w:r>
      <w:r w:rsidR="00E232E3">
        <w:t>, comparé</w:t>
      </w:r>
      <w:r w:rsidR="0026010F">
        <w:t xml:space="preserve"> aux </w:t>
      </w:r>
      <w:r w:rsidR="0026010F" w:rsidRPr="0026010F">
        <w:t>-3,2 Md d’euros</w:t>
      </w:r>
      <w:r w:rsidR="0026010F">
        <w:t xml:space="preserve"> de</w:t>
      </w:r>
      <w:r w:rsidR="0026010F" w:rsidRPr="0026010F">
        <w:t xml:space="preserve"> la même période 2021</w:t>
      </w:r>
      <w:r w:rsidR="0026010F">
        <w:t>, se réduit fortement de près de 50%</w:t>
      </w:r>
      <w:r>
        <w:t>.</w:t>
      </w:r>
    </w:p>
    <w:p w14:paraId="7C941906" w14:textId="77777777" w:rsidR="002640A0" w:rsidRDefault="002640A0" w:rsidP="008833A7">
      <w:pPr>
        <w:spacing w:line="259" w:lineRule="auto"/>
        <w:jc w:val="both"/>
      </w:pPr>
    </w:p>
    <w:p w14:paraId="5D6779B5" w14:textId="1FC4DFDB" w:rsidR="007A0FD9" w:rsidRDefault="002640A0" w:rsidP="008833A7">
      <w:pPr>
        <w:spacing w:line="259" w:lineRule="auto"/>
        <w:jc w:val="both"/>
      </w:pPr>
      <w:r w:rsidRPr="002640A0">
        <w:rPr>
          <w:b/>
        </w:rPr>
        <w:t>P</w:t>
      </w:r>
      <w:r w:rsidR="009F31A1" w:rsidRPr="002640A0">
        <w:rPr>
          <w:b/>
        </w:rPr>
        <w:t>armi les 10 principaux excédents</w:t>
      </w:r>
      <w:r w:rsidR="009F31A1">
        <w:t xml:space="preserve">, on trouve </w:t>
      </w:r>
      <w:r w:rsidR="0026010F">
        <w:t xml:space="preserve">sept </w:t>
      </w:r>
      <w:r w:rsidR="009F31A1">
        <w:t xml:space="preserve">pays tiers et </w:t>
      </w:r>
      <w:r w:rsidR="0026010F">
        <w:t xml:space="preserve">trois </w:t>
      </w:r>
      <w:r w:rsidR="009F31A1">
        <w:t>pays de l’Union européenne, l’</w:t>
      </w:r>
      <w:r w:rsidR="0026010F">
        <w:t>Allemagne 5</w:t>
      </w:r>
      <w:r w:rsidR="0026010F" w:rsidRPr="0026010F">
        <w:rPr>
          <w:vertAlign w:val="superscript"/>
        </w:rPr>
        <w:t>ème</w:t>
      </w:r>
      <w:r w:rsidR="0026010F">
        <w:t xml:space="preserve"> excédent</w:t>
      </w:r>
      <w:r w:rsidR="00F64E55">
        <w:t xml:space="preserve"> (+923,2 M d’euros, en hausse de +47,6%), l’Italie 8</w:t>
      </w:r>
      <w:r w:rsidR="00F64E55" w:rsidRPr="00F64E55">
        <w:rPr>
          <w:vertAlign w:val="superscript"/>
        </w:rPr>
        <w:t>ème</w:t>
      </w:r>
      <w:r w:rsidR="00F64E55">
        <w:t xml:space="preserve"> excédent (+670</w:t>
      </w:r>
      <w:r w:rsidR="009F31A1">
        <w:t xml:space="preserve">,6 M d’euros, en </w:t>
      </w:r>
      <w:r w:rsidR="00F64E55">
        <w:t>très forte hausse de +4</w:t>
      </w:r>
      <w:r w:rsidR="009F31A1">
        <w:t>2</w:t>
      </w:r>
      <w:r w:rsidR="00F64E55">
        <w:t>3,0</w:t>
      </w:r>
      <w:r w:rsidR="009F31A1">
        <w:t>%)</w:t>
      </w:r>
      <w:r w:rsidR="00F64E55">
        <w:t xml:space="preserve"> et la Belgique 9</w:t>
      </w:r>
      <w:r w:rsidR="00F64E55" w:rsidRPr="00F64E55">
        <w:rPr>
          <w:vertAlign w:val="superscript"/>
        </w:rPr>
        <w:t>ème</w:t>
      </w:r>
      <w:r w:rsidR="00F64E55">
        <w:t xml:space="preserve"> excédent (+661,2 M d’euros, en forte hausse de +168,2%)</w:t>
      </w:r>
      <w:r w:rsidR="009F31A1">
        <w:t>. Parmi, les pays tiers, le principal excédent concerne les Etats-Unis</w:t>
      </w:r>
      <w:r>
        <w:t xml:space="preserve"> : </w:t>
      </w:r>
      <w:r w:rsidR="00F64E55">
        <w:t>+4,5 Md d’euros, en hausse de +21,1</w:t>
      </w:r>
      <w:r w:rsidR="0072627E">
        <w:t>%</w:t>
      </w:r>
      <w:r w:rsidR="00F64E55">
        <w:t>,</w:t>
      </w:r>
      <w:r w:rsidR="00F64E55" w:rsidRPr="00F64E55">
        <w:t xml:space="preserve"> excédent qui avait progressé de +46</w:t>
      </w:r>
      <w:r w:rsidR="00F64E55">
        <w:t>,0% sur la même période de 2021</w:t>
      </w:r>
      <w:r w:rsidR="0072627E">
        <w:t xml:space="preserve">. La Chine </w:t>
      </w:r>
      <w:r w:rsidR="00F64E55">
        <w:t>r</w:t>
      </w:r>
      <w:r w:rsidR="0072627E">
        <w:t>est</w:t>
      </w:r>
      <w:r w:rsidR="00F64E55">
        <w:t>e</w:t>
      </w:r>
      <w:r w:rsidR="0072627E">
        <w:t xml:space="preserve"> le 2</w:t>
      </w:r>
      <w:r w:rsidR="0072627E" w:rsidRPr="0072627E">
        <w:rPr>
          <w:vertAlign w:val="superscript"/>
        </w:rPr>
        <w:t>ème</w:t>
      </w:r>
      <w:r w:rsidR="00F64E55">
        <w:t xml:space="preserve"> excédent de la balance commerciale française à</w:t>
      </w:r>
      <w:r>
        <w:t xml:space="preserve"> </w:t>
      </w:r>
      <w:r w:rsidR="00F64E55">
        <w:t>+1,7 Md d’euros mais recule de -31,4% alors qu’il avait progressé de +43,1% sur la même période de 2021</w:t>
      </w:r>
      <w:r w:rsidR="0077322B">
        <w:t xml:space="preserve"> (le recul est aussi significatif sur Hong Kong : -29,4%)</w:t>
      </w:r>
      <w:r>
        <w:t xml:space="preserve">. Outre, la Chine, </w:t>
      </w:r>
      <w:r w:rsidR="00F64E55">
        <w:t xml:space="preserve">l’excédent se réduit également sur le Royaume-Uni de -18,2% </w:t>
      </w:r>
      <w:r w:rsidR="0077322B">
        <w:t>après une réduction de -40,6% sur la même période de 2021, il demeure juste au-dessus de la barre des 1 Md d’euros. P</w:t>
      </w:r>
      <w:r>
        <w:t xml:space="preserve">armi les 10 principaux excédents, on </w:t>
      </w:r>
      <w:r w:rsidR="0077322B">
        <w:t xml:space="preserve">ne </w:t>
      </w:r>
      <w:r>
        <w:t xml:space="preserve">trouve </w:t>
      </w:r>
      <w:r w:rsidR="0077322B">
        <w:t xml:space="preserve">plus que deux </w:t>
      </w:r>
      <w:r>
        <w:t>autres pays asiatique</w:t>
      </w:r>
      <w:r w:rsidR="00A90763">
        <w:t>s</w:t>
      </w:r>
      <w:r w:rsidR="0077322B">
        <w:t xml:space="preserve"> (contre quatre en 2021)</w:t>
      </w:r>
      <w:r>
        <w:t> : le Japon (4</w:t>
      </w:r>
      <w:r w:rsidRPr="002640A0">
        <w:rPr>
          <w:vertAlign w:val="superscript"/>
        </w:rPr>
        <w:t>ème</w:t>
      </w:r>
      <w:r w:rsidR="0077322B">
        <w:t xml:space="preserve"> excédent : +942,5 M d’euros) et Singapour (7</w:t>
      </w:r>
      <w:r w:rsidRPr="002640A0">
        <w:rPr>
          <w:vertAlign w:val="superscript"/>
        </w:rPr>
        <w:t>ème</w:t>
      </w:r>
      <w:r w:rsidR="0077322B">
        <w:t xml:space="preserve"> excédent : +805,7 M d’euros) en progression respectivement de +17,7% et +1,8%. Hong Kong </w:t>
      </w:r>
      <w:r>
        <w:t xml:space="preserve">et la Corée du Sud </w:t>
      </w:r>
      <w:r w:rsidR="0077322B">
        <w:t>(malgré une progression de +10,5%) quittent le top 10. Pour compléter le classement, l</w:t>
      </w:r>
      <w:r>
        <w:t>’</w:t>
      </w:r>
      <w:r w:rsidR="0077322B">
        <w:t xml:space="preserve">Algérie demeure le </w:t>
      </w:r>
      <w:r w:rsidR="003D4796">
        <w:t>6</w:t>
      </w:r>
      <w:r w:rsidR="003D4796" w:rsidRPr="003D4796">
        <w:rPr>
          <w:vertAlign w:val="superscript"/>
        </w:rPr>
        <w:t>ème</w:t>
      </w:r>
      <w:r w:rsidR="0077322B">
        <w:t xml:space="preserve"> excédent (+922,6</w:t>
      </w:r>
      <w:r w:rsidR="003D4796">
        <w:t xml:space="preserve"> M d’euros) </w:t>
      </w:r>
      <w:r w:rsidR="0077322B">
        <w:t xml:space="preserve">en hausse de +42,0% </w:t>
      </w:r>
      <w:r w:rsidR="00466174">
        <w:t xml:space="preserve">et le Canada rentre dans le </w:t>
      </w:r>
      <w:r w:rsidR="003D4796">
        <w:t xml:space="preserve">top 10 </w:t>
      </w:r>
      <w:r w:rsidR="00466174">
        <w:t xml:space="preserve">avec un </w:t>
      </w:r>
      <w:r w:rsidR="003D4796">
        <w:t>excédent</w:t>
      </w:r>
      <w:r w:rsidR="00466174">
        <w:t xml:space="preserve"> de 428,7 M d’euros</w:t>
      </w:r>
      <w:r w:rsidR="00E232E3">
        <w:t>,</w:t>
      </w:r>
      <w:r w:rsidR="00466174">
        <w:t xml:space="preserve"> en hausse de +53,8</w:t>
      </w:r>
      <w:r w:rsidR="003D4796">
        <w:t>%.</w:t>
      </w:r>
    </w:p>
    <w:p w14:paraId="1E90E7A3" w14:textId="77777777" w:rsidR="003D4796" w:rsidRDefault="003D4796" w:rsidP="008833A7">
      <w:pPr>
        <w:spacing w:line="259" w:lineRule="auto"/>
        <w:jc w:val="both"/>
      </w:pPr>
    </w:p>
    <w:p w14:paraId="381312CF" w14:textId="29899FD1" w:rsidR="003D4796" w:rsidRDefault="003D4796" w:rsidP="008833A7">
      <w:pPr>
        <w:spacing w:line="259" w:lineRule="auto"/>
        <w:jc w:val="both"/>
      </w:pPr>
      <w:r w:rsidRPr="003D4796">
        <w:rPr>
          <w:b/>
        </w:rPr>
        <w:t>Parmi les 10 principaux déficits</w:t>
      </w:r>
      <w:r>
        <w:t>, on trouve quatre pa</w:t>
      </w:r>
      <w:r w:rsidR="00A55D49">
        <w:t>y</w:t>
      </w:r>
      <w:r>
        <w:t>s de l’Union européenne : l’Espagne, 1</w:t>
      </w:r>
      <w:r w:rsidRPr="003D4796">
        <w:rPr>
          <w:vertAlign w:val="superscript"/>
        </w:rPr>
        <w:t>er</w:t>
      </w:r>
      <w:r w:rsidR="00466174">
        <w:t xml:space="preserve"> déficit de -1,98</w:t>
      </w:r>
      <w:r>
        <w:t xml:space="preserve"> Md </w:t>
      </w:r>
      <w:r w:rsidR="00A55D49">
        <w:t>d’</w:t>
      </w:r>
      <w:r>
        <w:t>euros</w:t>
      </w:r>
      <w:r w:rsidR="00A55D49">
        <w:t xml:space="preserve"> qui </w:t>
      </w:r>
      <w:r w:rsidR="00466174">
        <w:t xml:space="preserve">après être </w:t>
      </w:r>
      <w:r w:rsidR="00A55D49">
        <w:t>resté relativement stable en</w:t>
      </w:r>
      <w:r w:rsidR="00466174">
        <w:t>tre</w:t>
      </w:r>
      <w:r w:rsidR="00A55D49">
        <w:t xml:space="preserve"> </w:t>
      </w:r>
      <w:r w:rsidR="00466174">
        <w:t xml:space="preserve">2020 et </w:t>
      </w:r>
      <w:r w:rsidR="00A55D49">
        <w:t xml:space="preserve">2021 s’est fortement </w:t>
      </w:r>
      <w:r w:rsidR="00466174">
        <w:t>réduit en 2022 (-20,8</w:t>
      </w:r>
      <w:r w:rsidR="00A55D49">
        <w:t>%) ;</w:t>
      </w:r>
      <w:r>
        <w:t xml:space="preserve"> les Pays-Bas</w:t>
      </w:r>
      <w:r w:rsidR="00A55D49">
        <w:t>, 2</w:t>
      </w:r>
      <w:r w:rsidR="00A55D49" w:rsidRPr="00A55D49">
        <w:rPr>
          <w:vertAlign w:val="superscript"/>
        </w:rPr>
        <w:t>ème</w:t>
      </w:r>
      <w:r w:rsidR="00466174">
        <w:t xml:space="preserve"> déficit de -1,9</w:t>
      </w:r>
      <w:r w:rsidR="00A55D49">
        <w:t xml:space="preserve"> Md d’euros, déficit qui </w:t>
      </w:r>
      <w:r w:rsidR="00E232E3">
        <w:t>continue de se creuser (</w:t>
      </w:r>
      <w:r w:rsidR="00466174">
        <w:t>+2,5%</w:t>
      </w:r>
      <w:r w:rsidR="00E232E3">
        <w:t>)</w:t>
      </w:r>
      <w:r w:rsidR="00466174">
        <w:t> ; la Pologne, 4</w:t>
      </w:r>
      <w:r w:rsidR="00A55D49" w:rsidRPr="00A55D49">
        <w:rPr>
          <w:vertAlign w:val="superscript"/>
        </w:rPr>
        <w:t>ème</w:t>
      </w:r>
      <w:r w:rsidR="00A55D49">
        <w:t xml:space="preserve"> déficit de</w:t>
      </w:r>
      <w:r w:rsidR="00A1043F">
        <w:t> </w:t>
      </w:r>
      <w:r w:rsidR="00A55D49">
        <w:t>-</w:t>
      </w:r>
      <w:r w:rsidR="00466174">
        <w:t>1,</w:t>
      </w:r>
      <w:r w:rsidR="00A55D49">
        <w:t>0 M</w:t>
      </w:r>
      <w:r w:rsidR="00466174">
        <w:t>d</w:t>
      </w:r>
      <w:r w:rsidR="00A55D49">
        <w:t xml:space="preserve"> d’euros qui</w:t>
      </w:r>
      <w:r w:rsidR="00466174">
        <w:t xml:space="preserve"> s’amplifie (+55,0%) </w:t>
      </w:r>
      <w:r w:rsidR="0057411B">
        <w:t>;</w:t>
      </w:r>
      <w:r w:rsidR="00A55D49">
        <w:t xml:space="preserve"> l’Irlande</w:t>
      </w:r>
      <w:r w:rsidR="00015EF8">
        <w:t>, 5</w:t>
      </w:r>
      <w:r w:rsidR="00A55D49" w:rsidRPr="00A55D49">
        <w:rPr>
          <w:vertAlign w:val="superscript"/>
        </w:rPr>
        <w:t>ème</w:t>
      </w:r>
      <w:r w:rsidR="00015EF8">
        <w:t xml:space="preserve"> déficit de -511,4</w:t>
      </w:r>
      <w:r w:rsidR="00A55D49">
        <w:t xml:space="preserve"> M d’euros</w:t>
      </w:r>
      <w:r w:rsidR="0057411B">
        <w:t xml:space="preserve"> qui</w:t>
      </w:r>
      <w:r w:rsidR="00E232E3">
        <w:t>,</w:t>
      </w:r>
      <w:r w:rsidR="0057411B">
        <w:t xml:space="preserve"> </w:t>
      </w:r>
      <w:r w:rsidR="00015EF8" w:rsidRPr="00015EF8">
        <w:t>après être resté relativement stable entre 2020 et 2021</w:t>
      </w:r>
      <w:r w:rsidR="00E232E3">
        <w:t>,</w:t>
      </w:r>
      <w:r w:rsidR="00015EF8" w:rsidRPr="00015EF8">
        <w:t xml:space="preserve"> s’est fortement </w:t>
      </w:r>
      <w:r w:rsidR="00015EF8">
        <w:t>accentué (+56,5%)</w:t>
      </w:r>
      <w:r w:rsidR="0057411B">
        <w:t xml:space="preserve">. Parmi, les principaux déficits, on trouve </w:t>
      </w:r>
      <w:r w:rsidR="00015EF8">
        <w:t xml:space="preserve">quatre pays d’Amérique du Sud : </w:t>
      </w:r>
      <w:r w:rsidR="0057411B">
        <w:t>le Brésil (3</w:t>
      </w:r>
      <w:r w:rsidR="0057411B" w:rsidRPr="0057411B">
        <w:rPr>
          <w:vertAlign w:val="superscript"/>
        </w:rPr>
        <w:t>ème</w:t>
      </w:r>
      <w:r w:rsidR="0057411B">
        <w:t xml:space="preserve"> déficit de -</w:t>
      </w:r>
      <w:r w:rsidR="00015EF8">
        <w:t>1,2</w:t>
      </w:r>
      <w:r w:rsidR="0057411B">
        <w:t xml:space="preserve"> M</w:t>
      </w:r>
      <w:r w:rsidR="00015EF8">
        <w:t>d</w:t>
      </w:r>
      <w:r w:rsidR="0057411B">
        <w:t xml:space="preserve"> d’euros</w:t>
      </w:r>
      <w:r w:rsidR="00A1043F">
        <w:t>,</w:t>
      </w:r>
      <w:r w:rsidR="0057411B">
        <w:t xml:space="preserve"> </w:t>
      </w:r>
      <w:r w:rsidR="0057411B" w:rsidRPr="0057411B">
        <w:t>qui s’</w:t>
      </w:r>
      <w:r w:rsidR="00015EF8">
        <w:t>est creusé en 2022 de +53,6%), l’Argentine (-358,7 M d’euros), l’Equateur (-351,2 M d’euros) et le Pérou (-33,9 M d’euros)</w:t>
      </w:r>
      <w:r w:rsidR="0057411B">
        <w:t>.</w:t>
      </w:r>
      <w:r w:rsidR="00015EF8">
        <w:t xml:space="preserve"> Complètent le top 10, l’Inde (-408,8 M d’euros) et la Norvège (-479,3 M d’euros).</w:t>
      </w:r>
    </w:p>
    <w:p w14:paraId="67599F25" w14:textId="57D44525" w:rsidR="009F31A1" w:rsidRDefault="009F31A1" w:rsidP="008833A7">
      <w:pPr>
        <w:spacing w:line="259" w:lineRule="auto"/>
        <w:jc w:val="both"/>
        <w:rPr>
          <w:noProof/>
          <w:lang w:eastAsia="fr-FR"/>
        </w:rPr>
      </w:pPr>
    </w:p>
    <w:p w14:paraId="056D7E60" w14:textId="01DAB096" w:rsidR="000532B2" w:rsidRDefault="000532B2" w:rsidP="008833A7">
      <w:pPr>
        <w:spacing w:line="259" w:lineRule="auto"/>
        <w:jc w:val="both"/>
      </w:pPr>
      <w:r>
        <w:rPr>
          <w:noProof/>
          <w:lang w:eastAsia="fr-FR"/>
        </w:rPr>
        <w:drawing>
          <wp:inline distT="0" distB="0" distL="0" distR="0" wp14:anchorId="3DB522B0" wp14:editId="64D2CD05">
            <wp:extent cx="6581775" cy="3133725"/>
            <wp:effectExtent l="0" t="0" r="9525" b="9525"/>
            <wp:docPr id="11" name="Graphique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5B4EAC5" w14:textId="319CF18E" w:rsidR="007A0FD9" w:rsidRDefault="007A0FD9" w:rsidP="008833A7">
      <w:pPr>
        <w:spacing w:line="259" w:lineRule="auto"/>
        <w:jc w:val="both"/>
        <w:rPr>
          <w:noProof/>
          <w:lang w:eastAsia="fr-FR"/>
        </w:rPr>
      </w:pPr>
    </w:p>
    <w:p w14:paraId="6CEB9EEA" w14:textId="77777777" w:rsidR="0072627E" w:rsidRDefault="0072627E" w:rsidP="008833A7">
      <w:pPr>
        <w:spacing w:line="259" w:lineRule="auto"/>
        <w:jc w:val="both"/>
        <w:rPr>
          <w:noProof/>
          <w:lang w:eastAsia="fr-FR"/>
        </w:rPr>
      </w:pPr>
    </w:p>
    <w:p w14:paraId="4C31D1A0" w14:textId="77777777" w:rsidR="0072627E" w:rsidRDefault="0072627E" w:rsidP="008833A7">
      <w:pPr>
        <w:spacing w:line="259" w:lineRule="auto"/>
        <w:jc w:val="both"/>
        <w:rPr>
          <w:noProof/>
          <w:lang w:eastAsia="fr-FR"/>
        </w:rPr>
      </w:pPr>
    </w:p>
    <w:p w14:paraId="2E43D559" w14:textId="77777777" w:rsidR="0072627E" w:rsidRDefault="0072627E" w:rsidP="008833A7">
      <w:pPr>
        <w:spacing w:line="259" w:lineRule="auto"/>
        <w:jc w:val="both"/>
        <w:rPr>
          <w:noProof/>
          <w:lang w:eastAsia="fr-FR"/>
        </w:rPr>
      </w:pPr>
    </w:p>
    <w:p w14:paraId="7B5C7239" w14:textId="77777777" w:rsidR="0072627E" w:rsidRDefault="0072627E" w:rsidP="008833A7">
      <w:pPr>
        <w:spacing w:line="259" w:lineRule="auto"/>
        <w:jc w:val="both"/>
      </w:pPr>
    </w:p>
    <w:p w14:paraId="6A2F9286" w14:textId="77777777" w:rsidR="009F31A1" w:rsidRDefault="009F31A1" w:rsidP="008833A7">
      <w:pPr>
        <w:spacing w:line="259" w:lineRule="auto"/>
        <w:jc w:val="both"/>
      </w:pPr>
    </w:p>
    <w:p w14:paraId="5B07CBCF" w14:textId="38AD0813" w:rsidR="00836CDD" w:rsidRPr="00D97A09" w:rsidRDefault="0057411B" w:rsidP="008833A7">
      <w:pPr>
        <w:spacing w:line="259" w:lineRule="auto"/>
        <w:jc w:val="both"/>
        <w:rPr>
          <w:b/>
        </w:rPr>
      </w:pPr>
      <w:r>
        <w:rPr>
          <w:b/>
        </w:rPr>
        <w:t>Pa</w:t>
      </w:r>
      <w:r w:rsidR="00015EF8">
        <w:rPr>
          <w:b/>
        </w:rPr>
        <w:t>r code SH, 11</w:t>
      </w:r>
      <w:r w:rsidR="00875579">
        <w:rPr>
          <w:b/>
        </w:rPr>
        <w:t xml:space="preserve"> p</w:t>
      </w:r>
      <w:r w:rsidR="00015EF8">
        <w:rPr>
          <w:b/>
        </w:rPr>
        <w:t>ostes sont excédentaires sur les neuf premiers mois de 2022 et 13</w:t>
      </w:r>
      <w:r w:rsidR="00875579">
        <w:rPr>
          <w:b/>
        </w:rPr>
        <w:t xml:space="preserve"> déficitaires. </w:t>
      </w:r>
      <w:r w:rsidR="00875579" w:rsidRPr="00D97A09">
        <w:rPr>
          <w:b/>
        </w:rPr>
        <w:t xml:space="preserve">Parmi les principaux excédents (au-dessus de 1 Md d’euros) </w:t>
      </w:r>
      <w:r w:rsidR="00D97A09">
        <w:rPr>
          <w:b/>
        </w:rPr>
        <w:t xml:space="preserve">en 2021 </w:t>
      </w:r>
      <w:r w:rsidR="00875579" w:rsidRPr="00D97A09">
        <w:rPr>
          <w:b/>
        </w:rPr>
        <w:t>on trouve quatre postes :</w:t>
      </w:r>
    </w:p>
    <w:p w14:paraId="7199B787" w14:textId="1E4D4705" w:rsidR="00B50D41" w:rsidRPr="00B50D41" w:rsidRDefault="00875579" w:rsidP="00836CDD">
      <w:pPr>
        <w:pStyle w:val="Paragraphedeliste"/>
        <w:numPr>
          <w:ilvl w:val="0"/>
          <w:numId w:val="9"/>
        </w:numPr>
        <w:spacing w:line="259" w:lineRule="auto"/>
        <w:jc w:val="both"/>
      </w:pPr>
      <w:r w:rsidRPr="00B50D41">
        <w:rPr>
          <w:i/>
        </w:rPr>
        <w:t>Boissons et alcool</w:t>
      </w:r>
      <w:r w:rsidR="00A1043F">
        <w:rPr>
          <w:i/>
        </w:rPr>
        <w:t>s</w:t>
      </w:r>
      <w:r w:rsidR="00836CDD" w:rsidRPr="00B50D41">
        <w:t> :</w:t>
      </w:r>
      <w:r w:rsidRPr="00B50D41">
        <w:t xml:space="preserve"> </w:t>
      </w:r>
      <w:r w:rsidR="00B50D41">
        <w:t>+</w:t>
      </w:r>
      <w:r w:rsidR="00015EF8">
        <w:t>11</w:t>
      </w:r>
      <w:r w:rsidRPr="00B50D41">
        <w:t xml:space="preserve">,6 Md </w:t>
      </w:r>
      <w:r w:rsidR="00B50D41" w:rsidRPr="00B50D41">
        <w:t>d’</w:t>
      </w:r>
      <w:r w:rsidR="00D97A09">
        <w:t>euros</w:t>
      </w:r>
      <w:r w:rsidR="00B50D41">
        <w:t>,</w:t>
      </w:r>
      <w:r w:rsidR="00015EF8">
        <w:t xml:space="preserve"> en hausse de +9,6</w:t>
      </w:r>
      <w:r w:rsidRPr="00B50D41">
        <w:t>%</w:t>
      </w:r>
      <w:r w:rsidR="00015EF8">
        <w:t xml:space="preserve"> par rapport à la même période de 2021</w:t>
      </w:r>
      <w:r w:rsidR="00B50D41" w:rsidRPr="00B50D41">
        <w:t>.</w:t>
      </w:r>
    </w:p>
    <w:p w14:paraId="6A19562E" w14:textId="1FE37B33" w:rsidR="00B50D41" w:rsidRDefault="00B50D41" w:rsidP="00836CDD">
      <w:pPr>
        <w:pStyle w:val="Paragraphedeliste"/>
        <w:numPr>
          <w:ilvl w:val="0"/>
          <w:numId w:val="9"/>
        </w:numPr>
        <w:spacing w:line="259" w:lineRule="auto"/>
        <w:jc w:val="both"/>
      </w:pPr>
      <w:r w:rsidRPr="00B50D41">
        <w:rPr>
          <w:i/>
        </w:rPr>
        <w:t>Céréales</w:t>
      </w:r>
      <w:r w:rsidR="00015EF8">
        <w:t> : +7,7</w:t>
      </w:r>
      <w:r>
        <w:t xml:space="preserve"> Md d’e</w:t>
      </w:r>
      <w:r w:rsidR="00D97A09">
        <w:t>uros</w:t>
      </w:r>
      <w:r>
        <w:t xml:space="preserve">, en </w:t>
      </w:r>
      <w:r w:rsidR="00BA1B47">
        <w:t xml:space="preserve">très forte </w:t>
      </w:r>
      <w:r w:rsidR="00015EF8">
        <w:t>hau</w:t>
      </w:r>
      <w:r w:rsidR="00BA1B47">
        <w:t>sse de +81,7</w:t>
      </w:r>
      <w:r>
        <w:t>%.</w:t>
      </w:r>
    </w:p>
    <w:p w14:paraId="6BCCF8CD" w14:textId="17CE303F" w:rsidR="00BA1B47" w:rsidRPr="00BA1B47" w:rsidRDefault="00BA1B47" w:rsidP="00BA1B47">
      <w:pPr>
        <w:pStyle w:val="Paragraphedeliste"/>
        <w:numPr>
          <w:ilvl w:val="0"/>
          <w:numId w:val="9"/>
        </w:numPr>
        <w:rPr>
          <w:i/>
        </w:rPr>
      </w:pPr>
      <w:r>
        <w:rPr>
          <w:i/>
        </w:rPr>
        <w:t xml:space="preserve">Animaux vivants : </w:t>
      </w:r>
      <w:r w:rsidRPr="00BA1B47">
        <w:t>+1,4</w:t>
      </w:r>
      <w:r>
        <w:t xml:space="preserve"> Md d’euros, en hausse de +12</w:t>
      </w:r>
      <w:r w:rsidRPr="00BA1B47">
        <w:t>,8%</w:t>
      </w:r>
      <w:r w:rsidRPr="00BA1B47">
        <w:rPr>
          <w:i/>
        </w:rPr>
        <w:t>.</w:t>
      </w:r>
    </w:p>
    <w:p w14:paraId="4879EEAB" w14:textId="291A500C" w:rsidR="00B50D41" w:rsidRDefault="00B50D41" w:rsidP="00836CDD">
      <w:pPr>
        <w:pStyle w:val="Paragraphedeliste"/>
        <w:numPr>
          <w:ilvl w:val="0"/>
          <w:numId w:val="9"/>
        </w:numPr>
        <w:spacing w:line="259" w:lineRule="auto"/>
        <w:jc w:val="both"/>
      </w:pPr>
      <w:r w:rsidRPr="00B50D41">
        <w:rPr>
          <w:i/>
        </w:rPr>
        <w:t>Lait, produits laitiers, œufs et miel</w:t>
      </w:r>
      <w:r w:rsidR="00BA1B47">
        <w:t> : +1,3</w:t>
      </w:r>
      <w:r>
        <w:t xml:space="preserve"> Md d’euros, en </w:t>
      </w:r>
      <w:r w:rsidR="00BA1B47">
        <w:t>forte baisse de -</w:t>
      </w:r>
      <w:r>
        <w:t>3</w:t>
      </w:r>
      <w:r w:rsidR="00BA1B47">
        <w:t>1,6%</w:t>
      </w:r>
      <w:r>
        <w:t>.</w:t>
      </w:r>
    </w:p>
    <w:p w14:paraId="06D533AA" w14:textId="25643716" w:rsidR="00D97A09" w:rsidRDefault="00BA1B47" w:rsidP="00B50D41">
      <w:pPr>
        <w:spacing w:line="259" w:lineRule="auto"/>
        <w:jc w:val="both"/>
      </w:pPr>
      <w:r>
        <w:t xml:space="preserve">Quatre </w:t>
      </w:r>
      <w:r w:rsidR="00B50D41">
        <w:t>postes bénéficient d’excédents en forte progression</w:t>
      </w:r>
      <w:r>
        <w:t xml:space="preserve"> en 2022</w:t>
      </w:r>
      <w:r w:rsidR="00B50D41">
        <w:t xml:space="preserve"> : </w:t>
      </w:r>
      <w:r w:rsidRPr="00BA1B47">
        <w:rPr>
          <w:i/>
        </w:rPr>
        <w:t>Sucres et sucreries</w:t>
      </w:r>
      <w:r>
        <w:t xml:space="preserve"> +74,7%, </w:t>
      </w:r>
      <w:r w:rsidR="00B50D41" w:rsidRPr="00B50D41">
        <w:rPr>
          <w:i/>
        </w:rPr>
        <w:t>Préparations à base de céréales</w:t>
      </w:r>
      <w:r>
        <w:t xml:space="preserve"> +26,1</w:t>
      </w:r>
      <w:r w:rsidR="00B50D41">
        <w:t xml:space="preserve">%, </w:t>
      </w:r>
      <w:r w:rsidRPr="00D97A09">
        <w:rPr>
          <w:i/>
        </w:rPr>
        <w:t>Oléagineux, graines et semences</w:t>
      </w:r>
      <w:r>
        <w:t xml:space="preserve"> +38,48%, </w:t>
      </w:r>
      <w:r w:rsidRPr="00BA1B47">
        <w:rPr>
          <w:i/>
        </w:rPr>
        <w:t>Résidus des industries alimentaires</w:t>
      </w:r>
      <w:r>
        <w:t xml:space="preserve"> +1070,1% .</w:t>
      </w:r>
    </w:p>
    <w:p w14:paraId="10A21F09" w14:textId="77777777" w:rsidR="00BA1B47" w:rsidRDefault="00BA1B47" w:rsidP="00B50D41">
      <w:pPr>
        <w:spacing w:line="259" w:lineRule="auto"/>
        <w:jc w:val="both"/>
        <w:rPr>
          <w:b/>
        </w:rPr>
      </w:pPr>
    </w:p>
    <w:p w14:paraId="1BE93D1F" w14:textId="68AEA7BC" w:rsidR="00D97A09" w:rsidRDefault="00D97A09" w:rsidP="00B50D41">
      <w:pPr>
        <w:spacing w:line="259" w:lineRule="auto"/>
        <w:jc w:val="both"/>
      </w:pPr>
      <w:r w:rsidRPr="00D97A09">
        <w:rPr>
          <w:b/>
        </w:rPr>
        <w:t xml:space="preserve">Parmi les principaux déficits (au-dessus de 1 Md d’euros) en 2021 on trouve </w:t>
      </w:r>
      <w:r w:rsidR="00BA1B47">
        <w:rPr>
          <w:b/>
        </w:rPr>
        <w:t>six</w:t>
      </w:r>
      <w:r w:rsidRPr="00D97A09">
        <w:rPr>
          <w:b/>
        </w:rPr>
        <w:t xml:space="preserve"> postes :</w:t>
      </w:r>
    </w:p>
    <w:p w14:paraId="6756C978" w14:textId="2C40E942" w:rsidR="00D97A09" w:rsidRDefault="00D97A09" w:rsidP="00D97A09">
      <w:pPr>
        <w:pStyle w:val="Paragraphedeliste"/>
        <w:numPr>
          <w:ilvl w:val="0"/>
          <w:numId w:val="10"/>
        </w:numPr>
        <w:spacing w:line="259" w:lineRule="auto"/>
        <w:jc w:val="both"/>
      </w:pPr>
      <w:r w:rsidRPr="00543C7A">
        <w:rPr>
          <w:i/>
        </w:rPr>
        <w:t>Fruits</w:t>
      </w:r>
      <w:r w:rsidR="00BA1B47">
        <w:t> : -3,3</w:t>
      </w:r>
      <w:r>
        <w:t xml:space="preserve"> Md d’euros</w:t>
      </w:r>
      <w:r w:rsidR="00543C7A">
        <w:t>,</w:t>
      </w:r>
      <w:r w:rsidR="00BA1B47">
        <w:t xml:space="preserve"> quasiment stable (+0,8%)</w:t>
      </w:r>
      <w:r w:rsidR="00543C7A">
        <w:t>.</w:t>
      </w:r>
    </w:p>
    <w:p w14:paraId="367E2EB8" w14:textId="4408C937" w:rsidR="00D97A09" w:rsidRDefault="00D97A09" w:rsidP="00D97A09">
      <w:pPr>
        <w:pStyle w:val="Paragraphedeliste"/>
        <w:numPr>
          <w:ilvl w:val="0"/>
          <w:numId w:val="10"/>
        </w:numPr>
        <w:spacing w:line="259" w:lineRule="auto"/>
        <w:jc w:val="both"/>
      </w:pPr>
      <w:r w:rsidRPr="00543C7A">
        <w:rPr>
          <w:i/>
        </w:rPr>
        <w:t>Poissons et crustacés</w:t>
      </w:r>
      <w:r w:rsidR="00BA1B47">
        <w:t> : -3,2</w:t>
      </w:r>
      <w:r>
        <w:t xml:space="preserve"> Md d’euros</w:t>
      </w:r>
      <w:r w:rsidR="00BA1B47">
        <w:t>, en hausse de +</w:t>
      </w:r>
      <w:r w:rsidR="00543C7A">
        <w:t>2</w:t>
      </w:r>
      <w:r w:rsidR="00BA1B47">
        <w:t>4,0</w:t>
      </w:r>
      <w:r w:rsidR="00543C7A">
        <w:t>%.</w:t>
      </w:r>
    </w:p>
    <w:p w14:paraId="54E244C6" w14:textId="1A3F9C35" w:rsidR="00BA1B47" w:rsidRPr="00A227CE" w:rsidRDefault="00BA1B47" w:rsidP="00BA1B47">
      <w:pPr>
        <w:pStyle w:val="Paragraphedeliste"/>
        <w:numPr>
          <w:ilvl w:val="0"/>
          <w:numId w:val="10"/>
        </w:numPr>
        <w:rPr>
          <w:i/>
        </w:rPr>
      </w:pPr>
      <w:r w:rsidRPr="00BA1B47">
        <w:rPr>
          <w:i/>
        </w:rPr>
        <w:t xml:space="preserve">Café, thé, épices </w:t>
      </w:r>
      <w:r w:rsidRPr="00A227CE">
        <w:t xml:space="preserve">: </w:t>
      </w:r>
      <w:r w:rsidR="00A227CE">
        <w:t>-1,8</w:t>
      </w:r>
      <w:r w:rsidRPr="00A227CE">
        <w:t xml:space="preserve"> Md d’euros, en </w:t>
      </w:r>
      <w:r w:rsidR="00A227CE">
        <w:t>forte hausse de + 41,5</w:t>
      </w:r>
      <w:r w:rsidRPr="00A227CE">
        <w:t>%.</w:t>
      </w:r>
    </w:p>
    <w:p w14:paraId="155868C9" w14:textId="0C178FC9" w:rsidR="00A227CE" w:rsidRPr="00A227CE" w:rsidRDefault="00A227CE" w:rsidP="00A227CE">
      <w:pPr>
        <w:pStyle w:val="Paragraphedeliste"/>
        <w:numPr>
          <w:ilvl w:val="0"/>
          <w:numId w:val="10"/>
        </w:numPr>
        <w:jc w:val="both"/>
      </w:pPr>
      <w:r>
        <w:rPr>
          <w:i/>
        </w:rPr>
        <w:t>Viandes et abats </w:t>
      </w:r>
      <w:r w:rsidRPr="00A227CE">
        <w:t>:</w:t>
      </w:r>
      <w:r>
        <w:t xml:space="preserve"> pour la 1</w:t>
      </w:r>
      <w:r w:rsidRPr="00A227CE">
        <w:rPr>
          <w:vertAlign w:val="superscript"/>
        </w:rPr>
        <w:t>ère</w:t>
      </w:r>
      <w:r>
        <w:t xml:space="preserve"> fois le déficit sur ce poste passe la barre du milliard d’euros à 1,8 Md, en hausse de +102,1%.</w:t>
      </w:r>
    </w:p>
    <w:p w14:paraId="663F8C6F" w14:textId="779020BE" w:rsidR="00D97A09" w:rsidRDefault="00D97A09" w:rsidP="00D97A09">
      <w:pPr>
        <w:pStyle w:val="Paragraphedeliste"/>
        <w:numPr>
          <w:ilvl w:val="0"/>
          <w:numId w:val="10"/>
        </w:numPr>
        <w:spacing w:line="259" w:lineRule="auto"/>
        <w:jc w:val="both"/>
      </w:pPr>
      <w:r w:rsidRPr="00543C7A">
        <w:rPr>
          <w:i/>
        </w:rPr>
        <w:t>Préparations de légumes, de fruits</w:t>
      </w:r>
      <w:r w:rsidR="00A227CE">
        <w:t> : -1,5</w:t>
      </w:r>
      <w:r>
        <w:t xml:space="preserve"> Md d’euros</w:t>
      </w:r>
      <w:r w:rsidR="00543C7A">
        <w:t>, en</w:t>
      </w:r>
      <w:r w:rsidR="00A227CE">
        <w:t xml:space="preserve"> hausse de +4,9%</w:t>
      </w:r>
      <w:r w:rsidR="00543C7A">
        <w:t>.</w:t>
      </w:r>
    </w:p>
    <w:p w14:paraId="3006FFCC" w14:textId="2D12B582" w:rsidR="00D97A09" w:rsidRPr="00D97A09" w:rsidRDefault="00A227CE" w:rsidP="00D97A09">
      <w:pPr>
        <w:pStyle w:val="Paragraphedeliste"/>
        <w:numPr>
          <w:ilvl w:val="0"/>
          <w:numId w:val="10"/>
        </w:numPr>
        <w:spacing w:line="259" w:lineRule="auto"/>
        <w:jc w:val="both"/>
      </w:pPr>
      <w:r>
        <w:rPr>
          <w:i/>
        </w:rPr>
        <w:t>P</w:t>
      </w:r>
      <w:r w:rsidR="00D97A09" w:rsidRPr="00543C7A">
        <w:rPr>
          <w:i/>
        </w:rPr>
        <w:t>réparations</w:t>
      </w:r>
      <w:r>
        <w:rPr>
          <w:i/>
        </w:rPr>
        <w:t xml:space="preserve"> de viandes, de poissons</w:t>
      </w:r>
      <w:r w:rsidR="00D97A09">
        <w:t xml:space="preserve"> : </w:t>
      </w:r>
      <w:r>
        <w:t>-1,1</w:t>
      </w:r>
      <w:r w:rsidR="00543C7A">
        <w:t xml:space="preserve"> Md d’euros</w:t>
      </w:r>
      <w:r w:rsidR="00543C7A" w:rsidRPr="00543C7A">
        <w:t xml:space="preserve"> </w:t>
      </w:r>
      <w:r>
        <w:t>en hausse de +</w:t>
      </w:r>
      <w:r w:rsidR="00543C7A">
        <w:t>2</w:t>
      </w:r>
      <w:r>
        <w:t>3,1</w:t>
      </w:r>
      <w:r w:rsidR="00543C7A">
        <w:t>%.</w:t>
      </w:r>
    </w:p>
    <w:p w14:paraId="378573F7" w14:textId="7EF3C45E" w:rsidR="00543C7A" w:rsidRDefault="00A227CE" w:rsidP="00B50D41">
      <w:pPr>
        <w:spacing w:line="259" w:lineRule="auto"/>
        <w:jc w:val="both"/>
      </w:pPr>
      <w:r>
        <w:t xml:space="preserve">Les </w:t>
      </w:r>
      <w:r w:rsidR="00543C7A">
        <w:t>déficits se</w:t>
      </w:r>
      <w:r>
        <w:t xml:space="preserve"> réduisent sur trois postes </w:t>
      </w:r>
      <w:r w:rsidR="00543C7A">
        <w:t xml:space="preserve">: </w:t>
      </w:r>
      <w:r w:rsidRPr="00A227CE">
        <w:rPr>
          <w:i/>
        </w:rPr>
        <w:t>Légumes</w:t>
      </w:r>
      <w:r>
        <w:t xml:space="preserve"> (-1,4%), </w:t>
      </w:r>
      <w:r w:rsidR="000B73B9" w:rsidRPr="000B73B9">
        <w:rPr>
          <w:i/>
        </w:rPr>
        <w:t>Plantes vivantes et produits de la floriculture</w:t>
      </w:r>
      <w:r w:rsidR="000B73B9">
        <w:t xml:space="preserve"> </w:t>
      </w:r>
      <w:r>
        <w:t xml:space="preserve">(-1,9%) </w:t>
      </w:r>
      <w:r w:rsidR="00297170">
        <w:t>et</w:t>
      </w:r>
      <w:r w:rsidR="000B73B9">
        <w:t xml:space="preserve"> </w:t>
      </w:r>
      <w:r w:rsidRPr="00A227CE">
        <w:rPr>
          <w:i/>
        </w:rPr>
        <w:t>Tabacs</w:t>
      </w:r>
      <w:r>
        <w:t xml:space="preserve"> (-8,0%)</w:t>
      </w:r>
      <w:r w:rsidR="00297170">
        <w:t>.</w:t>
      </w:r>
    </w:p>
    <w:p w14:paraId="1AF1A53F" w14:textId="44B1F5E8" w:rsidR="008833A7" w:rsidRDefault="008833A7" w:rsidP="008833A7">
      <w:pPr>
        <w:spacing w:line="259" w:lineRule="auto"/>
        <w:jc w:val="both"/>
      </w:pPr>
      <w:r>
        <w:br w:type="textWrapping" w:clear="all"/>
      </w:r>
      <w:r w:rsidR="000532B2">
        <w:rPr>
          <w:noProof/>
          <w:lang w:eastAsia="fr-FR"/>
        </w:rPr>
        <w:drawing>
          <wp:inline distT="0" distB="0" distL="0" distR="0" wp14:anchorId="7A33A449" wp14:editId="1E68D8F5">
            <wp:extent cx="6591300" cy="4333875"/>
            <wp:effectExtent l="0" t="0" r="0" b="9525"/>
            <wp:docPr id="12" name="Graphique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BEE3C7F" w14:textId="77777777" w:rsidR="008833A7" w:rsidRPr="00560459" w:rsidRDefault="008833A7" w:rsidP="00772B26">
      <w:pPr>
        <w:spacing w:line="259" w:lineRule="auto"/>
        <w:jc w:val="both"/>
      </w:pPr>
    </w:p>
    <w:sectPr w:rsidR="008833A7" w:rsidRPr="00560459" w:rsidSect="007706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83717" w14:textId="77777777" w:rsidR="001E5BFE" w:rsidRDefault="001E5BFE" w:rsidP="00D64864">
      <w:r>
        <w:separator/>
      </w:r>
    </w:p>
  </w:endnote>
  <w:endnote w:type="continuationSeparator" w:id="0">
    <w:p w14:paraId="749E52DF" w14:textId="77777777" w:rsidR="001E5BFE" w:rsidRDefault="001E5BFE" w:rsidP="00D6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D527A" w14:textId="77777777" w:rsidR="001E5BFE" w:rsidRDefault="001E5BFE" w:rsidP="00D64864">
      <w:r>
        <w:separator/>
      </w:r>
    </w:p>
  </w:footnote>
  <w:footnote w:type="continuationSeparator" w:id="0">
    <w:p w14:paraId="2F2C8E4D" w14:textId="77777777" w:rsidR="001E5BFE" w:rsidRDefault="001E5BFE" w:rsidP="00D64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378D"/>
    <w:multiLevelType w:val="hybridMultilevel"/>
    <w:tmpl w:val="D2A0C2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B5300"/>
    <w:multiLevelType w:val="hybridMultilevel"/>
    <w:tmpl w:val="F52AE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B719F"/>
    <w:multiLevelType w:val="hybridMultilevel"/>
    <w:tmpl w:val="DDD61E96"/>
    <w:lvl w:ilvl="0" w:tplc="9CC482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13DD7"/>
    <w:multiLevelType w:val="hybridMultilevel"/>
    <w:tmpl w:val="41E210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06072"/>
    <w:multiLevelType w:val="hybridMultilevel"/>
    <w:tmpl w:val="E13AF492"/>
    <w:lvl w:ilvl="0" w:tplc="3E627F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E109B"/>
    <w:multiLevelType w:val="hybridMultilevel"/>
    <w:tmpl w:val="6B8E9B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C0026"/>
    <w:multiLevelType w:val="hybridMultilevel"/>
    <w:tmpl w:val="43F46212"/>
    <w:lvl w:ilvl="0" w:tplc="E61AF2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F7763"/>
    <w:multiLevelType w:val="hybridMultilevel"/>
    <w:tmpl w:val="B38EEB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A774D"/>
    <w:multiLevelType w:val="hybridMultilevel"/>
    <w:tmpl w:val="C9D8054A"/>
    <w:lvl w:ilvl="0" w:tplc="FF2855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10A7B"/>
    <w:multiLevelType w:val="hybridMultilevel"/>
    <w:tmpl w:val="A398ABC0"/>
    <w:lvl w:ilvl="0" w:tplc="69DECC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67"/>
    <w:rsid w:val="00015EF8"/>
    <w:rsid w:val="000252FA"/>
    <w:rsid w:val="000267B8"/>
    <w:rsid w:val="00031CD4"/>
    <w:rsid w:val="000356BA"/>
    <w:rsid w:val="000532B2"/>
    <w:rsid w:val="0005352C"/>
    <w:rsid w:val="00063321"/>
    <w:rsid w:val="0006724C"/>
    <w:rsid w:val="000754ED"/>
    <w:rsid w:val="0008735E"/>
    <w:rsid w:val="000B73B9"/>
    <w:rsid w:val="000C7219"/>
    <w:rsid w:val="000F1E3B"/>
    <w:rsid w:val="000F20CF"/>
    <w:rsid w:val="00104DA1"/>
    <w:rsid w:val="00110925"/>
    <w:rsid w:val="00145825"/>
    <w:rsid w:val="0015599C"/>
    <w:rsid w:val="0016508F"/>
    <w:rsid w:val="001740CB"/>
    <w:rsid w:val="0018160D"/>
    <w:rsid w:val="001843E5"/>
    <w:rsid w:val="001909E6"/>
    <w:rsid w:val="00190ABB"/>
    <w:rsid w:val="001931BD"/>
    <w:rsid w:val="001A13CA"/>
    <w:rsid w:val="001A2F53"/>
    <w:rsid w:val="001A693C"/>
    <w:rsid w:val="001D389A"/>
    <w:rsid w:val="001E5BFE"/>
    <w:rsid w:val="001F17F9"/>
    <w:rsid w:val="00206D6B"/>
    <w:rsid w:val="00234946"/>
    <w:rsid w:val="0026010F"/>
    <w:rsid w:val="002640A0"/>
    <w:rsid w:val="0027347E"/>
    <w:rsid w:val="00276165"/>
    <w:rsid w:val="00290B6D"/>
    <w:rsid w:val="00297170"/>
    <w:rsid w:val="002A3979"/>
    <w:rsid w:val="002A4E4E"/>
    <w:rsid w:val="002C3536"/>
    <w:rsid w:val="002E497F"/>
    <w:rsid w:val="002E66FF"/>
    <w:rsid w:val="002E70C4"/>
    <w:rsid w:val="002F1D2A"/>
    <w:rsid w:val="00314CBD"/>
    <w:rsid w:val="00323AFB"/>
    <w:rsid w:val="003261DF"/>
    <w:rsid w:val="003342CB"/>
    <w:rsid w:val="00353067"/>
    <w:rsid w:val="00357998"/>
    <w:rsid w:val="00362FA2"/>
    <w:rsid w:val="0038119E"/>
    <w:rsid w:val="003811AF"/>
    <w:rsid w:val="0039573F"/>
    <w:rsid w:val="00395C3E"/>
    <w:rsid w:val="0039646D"/>
    <w:rsid w:val="003B5050"/>
    <w:rsid w:val="003D4796"/>
    <w:rsid w:val="00406E2E"/>
    <w:rsid w:val="004150D1"/>
    <w:rsid w:val="0042625B"/>
    <w:rsid w:val="004340CF"/>
    <w:rsid w:val="0043480F"/>
    <w:rsid w:val="004351F5"/>
    <w:rsid w:val="00436287"/>
    <w:rsid w:val="00466174"/>
    <w:rsid w:val="004674EB"/>
    <w:rsid w:val="00474094"/>
    <w:rsid w:val="00483224"/>
    <w:rsid w:val="0049217A"/>
    <w:rsid w:val="00493BA3"/>
    <w:rsid w:val="00495DBD"/>
    <w:rsid w:val="004D5804"/>
    <w:rsid w:val="004D67EA"/>
    <w:rsid w:val="00512F91"/>
    <w:rsid w:val="00536000"/>
    <w:rsid w:val="00543C7A"/>
    <w:rsid w:val="00557707"/>
    <w:rsid w:val="00560459"/>
    <w:rsid w:val="0057411B"/>
    <w:rsid w:val="0058278F"/>
    <w:rsid w:val="00594063"/>
    <w:rsid w:val="005A7503"/>
    <w:rsid w:val="005B6226"/>
    <w:rsid w:val="005C0568"/>
    <w:rsid w:val="005D56A5"/>
    <w:rsid w:val="005D57BD"/>
    <w:rsid w:val="005D5D17"/>
    <w:rsid w:val="005D6804"/>
    <w:rsid w:val="005E2D98"/>
    <w:rsid w:val="005E56E2"/>
    <w:rsid w:val="005E5BD8"/>
    <w:rsid w:val="005F03D3"/>
    <w:rsid w:val="00606AB0"/>
    <w:rsid w:val="00616CD5"/>
    <w:rsid w:val="00633F0B"/>
    <w:rsid w:val="00665D80"/>
    <w:rsid w:val="00676621"/>
    <w:rsid w:val="00696EA4"/>
    <w:rsid w:val="006B0F30"/>
    <w:rsid w:val="006B1A38"/>
    <w:rsid w:val="006B37E3"/>
    <w:rsid w:val="006C1BF6"/>
    <w:rsid w:val="006D78F9"/>
    <w:rsid w:val="006E762C"/>
    <w:rsid w:val="006F2A43"/>
    <w:rsid w:val="00717EA7"/>
    <w:rsid w:val="00726159"/>
    <w:rsid w:val="0072627E"/>
    <w:rsid w:val="0074015E"/>
    <w:rsid w:val="007409C9"/>
    <w:rsid w:val="007426CB"/>
    <w:rsid w:val="0077064D"/>
    <w:rsid w:val="00772B26"/>
    <w:rsid w:val="0077322B"/>
    <w:rsid w:val="007860D7"/>
    <w:rsid w:val="0078706F"/>
    <w:rsid w:val="007936A2"/>
    <w:rsid w:val="00795FD9"/>
    <w:rsid w:val="007A0FD9"/>
    <w:rsid w:val="007C2316"/>
    <w:rsid w:val="007D0592"/>
    <w:rsid w:val="007E0179"/>
    <w:rsid w:val="007E4C8E"/>
    <w:rsid w:val="007F633B"/>
    <w:rsid w:val="008056A9"/>
    <w:rsid w:val="008305FC"/>
    <w:rsid w:val="008306F0"/>
    <w:rsid w:val="0083566B"/>
    <w:rsid w:val="00836CDD"/>
    <w:rsid w:val="00853292"/>
    <w:rsid w:val="0086206C"/>
    <w:rsid w:val="0086447F"/>
    <w:rsid w:val="00875579"/>
    <w:rsid w:val="00877119"/>
    <w:rsid w:val="00880BF1"/>
    <w:rsid w:val="008833A7"/>
    <w:rsid w:val="008A40C9"/>
    <w:rsid w:val="008C5C0F"/>
    <w:rsid w:val="008C6A34"/>
    <w:rsid w:val="008D395B"/>
    <w:rsid w:val="008D4D05"/>
    <w:rsid w:val="008D6003"/>
    <w:rsid w:val="00913656"/>
    <w:rsid w:val="00915310"/>
    <w:rsid w:val="00915404"/>
    <w:rsid w:val="009171A1"/>
    <w:rsid w:val="00937CB0"/>
    <w:rsid w:val="00942222"/>
    <w:rsid w:val="009551A5"/>
    <w:rsid w:val="0096246C"/>
    <w:rsid w:val="00971CD9"/>
    <w:rsid w:val="00985EBC"/>
    <w:rsid w:val="00993731"/>
    <w:rsid w:val="00995954"/>
    <w:rsid w:val="00995D7E"/>
    <w:rsid w:val="009D59A2"/>
    <w:rsid w:val="009D6B28"/>
    <w:rsid w:val="009E26EC"/>
    <w:rsid w:val="009F31A1"/>
    <w:rsid w:val="009F33D4"/>
    <w:rsid w:val="009F571E"/>
    <w:rsid w:val="00A016BA"/>
    <w:rsid w:val="00A1043F"/>
    <w:rsid w:val="00A124EC"/>
    <w:rsid w:val="00A227CE"/>
    <w:rsid w:val="00A32D70"/>
    <w:rsid w:val="00A42C81"/>
    <w:rsid w:val="00A4322C"/>
    <w:rsid w:val="00A47828"/>
    <w:rsid w:val="00A55120"/>
    <w:rsid w:val="00A55D49"/>
    <w:rsid w:val="00A57B67"/>
    <w:rsid w:val="00A6229C"/>
    <w:rsid w:val="00A66134"/>
    <w:rsid w:val="00A70BA5"/>
    <w:rsid w:val="00A72608"/>
    <w:rsid w:val="00A90763"/>
    <w:rsid w:val="00A924C1"/>
    <w:rsid w:val="00A93A3E"/>
    <w:rsid w:val="00AA1CFD"/>
    <w:rsid w:val="00AA24C2"/>
    <w:rsid w:val="00AB72D8"/>
    <w:rsid w:val="00AB7565"/>
    <w:rsid w:val="00AD36CD"/>
    <w:rsid w:val="00AD6760"/>
    <w:rsid w:val="00B075AC"/>
    <w:rsid w:val="00B078A4"/>
    <w:rsid w:val="00B15ECF"/>
    <w:rsid w:val="00B16E64"/>
    <w:rsid w:val="00B22608"/>
    <w:rsid w:val="00B2587B"/>
    <w:rsid w:val="00B31411"/>
    <w:rsid w:val="00B407AC"/>
    <w:rsid w:val="00B44663"/>
    <w:rsid w:val="00B50D41"/>
    <w:rsid w:val="00B66EF5"/>
    <w:rsid w:val="00BA1B47"/>
    <w:rsid w:val="00BE0CD5"/>
    <w:rsid w:val="00C1227A"/>
    <w:rsid w:val="00C20A0E"/>
    <w:rsid w:val="00C30E8E"/>
    <w:rsid w:val="00C31712"/>
    <w:rsid w:val="00C3733A"/>
    <w:rsid w:val="00C405A8"/>
    <w:rsid w:val="00C42A92"/>
    <w:rsid w:val="00C53C19"/>
    <w:rsid w:val="00C73FFA"/>
    <w:rsid w:val="00C74F75"/>
    <w:rsid w:val="00C764A4"/>
    <w:rsid w:val="00C8007E"/>
    <w:rsid w:val="00C811E4"/>
    <w:rsid w:val="00C95BA6"/>
    <w:rsid w:val="00CA1053"/>
    <w:rsid w:val="00CA7A66"/>
    <w:rsid w:val="00CB35D8"/>
    <w:rsid w:val="00CB382B"/>
    <w:rsid w:val="00CB64A8"/>
    <w:rsid w:val="00CC66AD"/>
    <w:rsid w:val="00CE341B"/>
    <w:rsid w:val="00CE3631"/>
    <w:rsid w:val="00CF74C0"/>
    <w:rsid w:val="00D13C55"/>
    <w:rsid w:val="00D217E1"/>
    <w:rsid w:val="00D4408E"/>
    <w:rsid w:val="00D44E31"/>
    <w:rsid w:val="00D64864"/>
    <w:rsid w:val="00D812F1"/>
    <w:rsid w:val="00D8582D"/>
    <w:rsid w:val="00D86140"/>
    <w:rsid w:val="00D97A09"/>
    <w:rsid w:val="00DA5D9D"/>
    <w:rsid w:val="00DB0546"/>
    <w:rsid w:val="00DB12E7"/>
    <w:rsid w:val="00DD1139"/>
    <w:rsid w:val="00DD66D1"/>
    <w:rsid w:val="00E04694"/>
    <w:rsid w:val="00E04CD3"/>
    <w:rsid w:val="00E232E3"/>
    <w:rsid w:val="00E4521A"/>
    <w:rsid w:val="00E54BC1"/>
    <w:rsid w:val="00E57AC4"/>
    <w:rsid w:val="00E600A9"/>
    <w:rsid w:val="00E62AAD"/>
    <w:rsid w:val="00E85C68"/>
    <w:rsid w:val="00E8760D"/>
    <w:rsid w:val="00EA5BA1"/>
    <w:rsid w:val="00EB3F02"/>
    <w:rsid w:val="00EC4F3E"/>
    <w:rsid w:val="00ED19DC"/>
    <w:rsid w:val="00ED67D8"/>
    <w:rsid w:val="00EE7EC0"/>
    <w:rsid w:val="00EF14C8"/>
    <w:rsid w:val="00EF606D"/>
    <w:rsid w:val="00EF6CE3"/>
    <w:rsid w:val="00EF7AE9"/>
    <w:rsid w:val="00F2319C"/>
    <w:rsid w:val="00F25538"/>
    <w:rsid w:val="00F35E50"/>
    <w:rsid w:val="00F36E61"/>
    <w:rsid w:val="00F43A5A"/>
    <w:rsid w:val="00F52261"/>
    <w:rsid w:val="00F634F4"/>
    <w:rsid w:val="00F64E55"/>
    <w:rsid w:val="00F71A73"/>
    <w:rsid w:val="00F76768"/>
    <w:rsid w:val="00FB1FC1"/>
    <w:rsid w:val="00FC07C2"/>
    <w:rsid w:val="00FC64CC"/>
    <w:rsid w:val="00FE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9D9E"/>
  <w15:chartTrackingRefBased/>
  <w15:docId w15:val="{75A93E76-3651-4A58-BECD-FD739195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3D4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57B6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44E31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6486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6486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64864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C122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1227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1227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122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1227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227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Feuille_de_calcul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Feuille_de_calcul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Feuille_de_calcul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Feuille_de_calcul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fr-FR" sz="1000" b="1" i="0" baseline="0">
                <a:effectLst/>
                <a:latin typeface="+mn-lt"/>
              </a:rPr>
              <a:t>Top 10 des pays clients</a:t>
            </a:r>
            <a:r>
              <a:rPr lang="fr-FR" sz="1000" b="0" i="0" baseline="0">
                <a:effectLst/>
                <a:latin typeface="+mn-lt"/>
              </a:rPr>
              <a:t> </a:t>
            </a:r>
            <a:r>
              <a:rPr lang="fr-FR" sz="1000" b="1" i="0" baseline="0">
                <a:effectLst/>
                <a:latin typeface="+mn-lt"/>
              </a:rPr>
              <a:t>de la France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fr-FR" sz="1000" b="1" i="0" baseline="0">
                <a:effectLst/>
              </a:rPr>
              <a:t>Janvier-Septembre</a:t>
            </a:r>
            <a:endParaRPr lang="fr-FR" sz="1000" b="1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'Pays Exportations'!$B$6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'Pays Exportations'!$A$10:$A$19</c:f>
              <c:strCache>
                <c:ptCount val="10"/>
                <c:pt idx="0">
                  <c:v>Belgique</c:v>
                </c:pt>
                <c:pt idx="1">
                  <c:v>Allemagne</c:v>
                </c:pt>
                <c:pt idx="2">
                  <c:v>Etats-Unis</c:v>
                </c:pt>
                <c:pt idx="3">
                  <c:v>Espagne</c:v>
                </c:pt>
                <c:pt idx="4">
                  <c:v>Italie</c:v>
                </c:pt>
                <c:pt idx="5">
                  <c:v>Royaume Uni</c:v>
                </c:pt>
                <c:pt idx="6">
                  <c:v>Pays-Bas</c:v>
                </c:pt>
                <c:pt idx="7">
                  <c:v>Chine</c:v>
                </c:pt>
                <c:pt idx="8">
                  <c:v>Suisse</c:v>
                </c:pt>
                <c:pt idx="9">
                  <c:v>Maroc</c:v>
                </c:pt>
              </c:strCache>
            </c:strRef>
          </c:cat>
          <c:val>
            <c:numRef>
              <c:f>'Pays Exportations'!$B$10:$B$19</c:f>
              <c:numCache>
                <c:formatCode>#,##0</c:formatCode>
                <c:ptCount val="10"/>
                <c:pt idx="0">
                  <c:v>4719980085</c:v>
                </c:pt>
                <c:pt idx="1">
                  <c:v>4906727959</c:v>
                </c:pt>
                <c:pt idx="2">
                  <c:v>3262306062</c:v>
                </c:pt>
                <c:pt idx="3">
                  <c:v>3530659166</c:v>
                </c:pt>
                <c:pt idx="4">
                  <c:v>3815641981</c:v>
                </c:pt>
                <c:pt idx="5">
                  <c:v>3779677431</c:v>
                </c:pt>
                <c:pt idx="6">
                  <c:v>2883722260</c:v>
                </c:pt>
                <c:pt idx="7">
                  <c:v>2200456202</c:v>
                </c:pt>
                <c:pt idx="8">
                  <c:v>1337322277</c:v>
                </c:pt>
                <c:pt idx="9">
                  <c:v>612065260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19D-420E-83B2-257F088CC603}"/>
            </c:ext>
          </c:extLst>
        </c:ser>
        <c:ser>
          <c:idx val="1"/>
          <c:order val="1"/>
          <c:tx>
            <c:strRef>
              <c:f>'Pays Exportations'!$C$6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'Pays Exportations'!$A$10:$A$19</c:f>
              <c:strCache>
                <c:ptCount val="10"/>
                <c:pt idx="0">
                  <c:v>Belgique</c:v>
                </c:pt>
                <c:pt idx="1">
                  <c:v>Allemagne</c:v>
                </c:pt>
                <c:pt idx="2">
                  <c:v>Etats-Unis</c:v>
                </c:pt>
                <c:pt idx="3">
                  <c:v>Espagne</c:v>
                </c:pt>
                <c:pt idx="4">
                  <c:v>Italie</c:v>
                </c:pt>
                <c:pt idx="5">
                  <c:v>Royaume Uni</c:v>
                </c:pt>
                <c:pt idx="6">
                  <c:v>Pays-Bas</c:v>
                </c:pt>
                <c:pt idx="7">
                  <c:v>Chine</c:v>
                </c:pt>
                <c:pt idx="8">
                  <c:v>Suisse</c:v>
                </c:pt>
                <c:pt idx="9">
                  <c:v>Maroc</c:v>
                </c:pt>
              </c:strCache>
            </c:strRef>
          </c:cat>
          <c:val>
            <c:numRef>
              <c:f>'Pays Exportations'!$C$10:$C$19</c:f>
              <c:numCache>
                <c:formatCode>#,##0</c:formatCode>
                <c:ptCount val="10"/>
                <c:pt idx="0">
                  <c:v>5400515573</c:v>
                </c:pt>
                <c:pt idx="1">
                  <c:v>5246309289</c:v>
                </c:pt>
                <c:pt idx="2">
                  <c:v>4308694785</c:v>
                </c:pt>
                <c:pt idx="3">
                  <c:v>3780277948</c:v>
                </c:pt>
                <c:pt idx="4">
                  <c:v>3974461562</c:v>
                </c:pt>
                <c:pt idx="5">
                  <c:v>3885551112</c:v>
                </c:pt>
                <c:pt idx="6">
                  <c:v>3148346421</c:v>
                </c:pt>
                <c:pt idx="7">
                  <c:v>2925377155</c:v>
                </c:pt>
                <c:pt idx="8">
                  <c:v>1475737914</c:v>
                </c:pt>
                <c:pt idx="9">
                  <c:v>439371031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19D-420E-83B2-257F088CC603}"/>
            </c:ext>
          </c:extLst>
        </c:ser>
        <c:ser>
          <c:idx val="2"/>
          <c:order val="2"/>
          <c:tx>
            <c:strRef>
              <c:f>'Pays Exportations'!$D$6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'Pays Exportations'!$A$10:$A$19</c:f>
              <c:strCache>
                <c:ptCount val="10"/>
                <c:pt idx="0">
                  <c:v>Belgique</c:v>
                </c:pt>
                <c:pt idx="1">
                  <c:v>Allemagne</c:v>
                </c:pt>
                <c:pt idx="2">
                  <c:v>Etats-Unis</c:v>
                </c:pt>
                <c:pt idx="3">
                  <c:v>Espagne</c:v>
                </c:pt>
                <c:pt idx="4">
                  <c:v>Italie</c:v>
                </c:pt>
                <c:pt idx="5">
                  <c:v>Royaume Uni</c:v>
                </c:pt>
                <c:pt idx="6">
                  <c:v>Pays-Bas</c:v>
                </c:pt>
                <c:pt idx="7">
                  <c:v>Chine</c:v>
                </c:pt>
                <c:pt idx="8">
                  <c:v>Suisse</c:v>
                </c:pt>
                <c:pt idx="9">
                  <c:v>Maroc</c:v>
                </c:pt>
              </c:strCache>
            </c:strRef>
          </c:cat>
          <c:val>
            <c:numRef>
              <c:f>'Pays Exportations'!$D$10:$D$19</c:f>
              <c:numCache>
                <c:formatCode>#,##0</c:formatCode>
                <c:ptCount val="10"/>
                <c:pt idx="0">
                  <c:v>6771958719</c:v>
                </c:pt>
                <c:pt idx="1">
                  <c:v>6074387295</c:v>
                </c:pt>
                <c:pt idx="2">
                  <c:v>5190047451</c:v>
                </c:pt>
                <c:pt idx="3">
                  <c:v>5096400918</c:v>
                </c:pt>
                <c:pt idx="4">
                  <c:v>4955159425</c:v>
                </c:pt>
                <c:pt idx="5">
                  <c:v>4399525913</c:v>
                </c:pt>
                <c:pt idx="6">
                  <c:v>4238273560</c:v>
                </c:pt>
                <c:pt idx="7">
                  <c:v>2444594659</c:v>
                </c:pt>
                <c:pt idx="8">
                  <c:v>1620168483</c:v>
                </c:pt>
                <c:pt idx="9">
                  <c:v>1285580558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19D-420E-83B2-257F088CC6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2785960"/>
        <c:axId val="452787528"/>
      </c:barChart>
      <c:catAx>
        <c:axId val="452785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52787528"/>
        <c:crosses val="autoZero"/>
        <c:auto val="1"/>
        <c:lblAlgn val="ctr"/>
        <c:lblOffset val="100"/>
        <c:noMultiLvlLbl val="0"/>
      </c:catAx>
      <c:valAx>
        <c:axId val="452787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52785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000" b="1" i="0" kern="1200" spc="0" baseline="0">
                <a:solidFill>
                  <a:srgbClr val="595959"/>
                </a:solidFill>
                <a:effectLst/>
              </a:rPr>
              <a:t>Top 10 des pays fournisseurs</a:t>
            </a:r>
            <a:r>
              <a:rPr lang="fr-FR" sz="1000" b="0" i="0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</a:rPr>
              <a:t> </a:t>
            </a:r>
            <a:r>
              <a:rPr lang="fr-FR" sz="1000" b="1" i="0" baseline="0">
                <a:effectLst/>
              </a:rPr>
              <a:t>de la France</a:t>
            </a:r>
          </a:p>
          <a:p>
            <a:pPr>
              <a:defRPr/>
            </a:pPr>
            <a:r>
              <a:rPr lang="fr-FR" sz="1000" b="1" i="0" baseline="0">
                <a:effectLst/>
              </a:rPr>
              <a:t>Janvier-Septembre</a:t>
            </a:r>
            <a:endParaRPr lang="fr-FR" sz="1000" b="1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'Pays Importations'!$B$6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'Pays Importations'!$A$10:$A$19</c:f>
              <c:strCache>
                <c:ptCount val="10"/>
                <c:pt idx="0">
                  <c:v>Espagne</c:v>
                </c:pt>
                <c:pt idx="1">
                  <c:v>Belgique</c:v>
                </c:pt>
                <c:pt idx="2">
                  <c:v>Pays-Bas</c:v>
                </c:pt>
                <c:pt idx="3">
                  <c:v>Allemagne</c:v>
                </c:pt>
                <c:pt idx="4">
                  <c:v>Italie</c:v>
                </c:pt>
                <c:pt idx="5">
                  <c:v>Royaume Uni</c:v>
                </c:pt>
                <c:pt idx="6">
                  <c:v>Pologne</c:v>
                </c:pt>
                <c:pt idx="7">
                  <c:v>Suisse</c:v>
                </c:pt>
                <c:pt idx="8">
                  <c:v>Brésil</c:v>
                </c:pt>
                <c:pt idx="9">
                  <c:v>Maroc</c:v>
                </c:pt>
              </c:strCache>
            </c:strRef>
          </c:cat>
          <c:val>
            <c:numRef>
              <c:f>'Pays Importations'!$B$10:$B$19</c:f>
              <c:numCache>
                <c:formatCode>#,##0</c:formatCode>
                <c:ptCount val="10"/>
                <c:pt idx="0">
                  <c:v>6029628385</c:v>
                </c:pt>
                <c:pt idx="1">
                  <c:v>4838167125</c:v>
                </c:pt>
                <c:pt idx="2">
                  <c:v>4480517038</c:v>
                </c:pt>
                <c:pt idx="3">
                  <c:v>4431811890</c:v>
                </c:pt>
                <c:pt idx="4">
                  <c:v>3506662713</c:v>
                </c:pt>
                <c:pt idx="5">
                  <c:v>1711914416</c:v>
                </c:pt>
                <c:pt idx="6">
                  <c:v>1360970469</c:v>
                </c:pt>
                <c:pt idx="7">
                  <c:v>1301270738</c:v>
                </c:pt>
                <c:pt idx="8">
                  <c:v>826686884</c:v>
                </c:pt>
                <c:pt idx="9">
                  <c:v>844139287</c:v>
                </c:pt>
              </c:numCache>
            </c:numRef>
          </c:val>
        </c:ser>
        <c:ser>
          <c:idx val="1"/>
          <c:order val="1"/>
          <c:tx>
            <c:strRef>
              <c:f>'Pays Importations'!$C$6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'Pays Importations'!$A$10:$A$19</c:f>
              <c:strCache>
                <c:ptCount val="10"/>
                <c:pt idx="0">
                  <c:v>Espagne</c:v>
                </c:pt>
                <c:pt idx="1">
                  <c:v>Belgique</c:v>
                </c:pt>
                <c:pt idx="2">
                  <c:v>Pays-Bas</c:v>
                </c:pt>
                <c:pt idx="3">
                  <c:v>Allemagne</c:v>
                </c:pt>
                <c:pt idx="4">
                  <c:v>Italie</c:v>
                </c:pt>
                <c:pt idx="5">
                  <c:v>Royaume Uni</c:v>
                </c:pt>
                <c:pt idx="6">
                  <c:v>Pologne</c:v>
                </c:pt>
                <c:pt idx="7">
                  <c:v>Suisse</c:v>
                </c:pt>
                <c:pt idx="8">
                  <c:v>Brésil</c:v>
                </c:pt>
                <c:pt idx="9">
                  <c:v>Maroc</c:v>
                </c:pt>
              </c:strCache>
            </c:strRef>
          </c:cat>
          <c:val>
            <c:numRef>
              <c:f>'Pays Importations'!$C$10:$C$19</c:f>
              <c:numCache>
                <c:formatCode>#,##0</c:formatCode>
                <c:ptCount val="10"/>
                <c:pt idx="0">
                  <c:v>6275608080</c:v>
                </c:pt>
                <c:pt idx="1">
                  <c:v>5153990698</c:v>
                </c:pt>
                <c:pt idx="2">
                  <c:v>4970562989</c:v>
                </c:pt>
                <c:pt idx="3">
                  <c:v>4620712529</c:v>
                </c:pt>
                <c:pt idx="4">
                  <c:v>3845995531</c:v>
                </c:pt>
                <c:pt idx="5">
                  <c:v>2657402633</c:v>
                </c:pt>
                <c:pt idx="6">
                  <c:v>1531247476</c:v>
                </c:pt>
                <c:pt idx="7">
                  <c:v>1330361517</c:v>
                </c:pt>
                <c:pt idx="8">
                  <c:v>860170162</c:v>
                </c:pt>
                <c:pt idx="9">
                  <c:v>901950861</c:v>
                </c:pt>
              </c:numCache>
            </c:numRef>
          </c:val>
        </c:ser>
        <c:ser>
          <c:idx val="2"/>
          <c:order val="2"/>
          <c:tx>
            <c:strRef>
              <c:f>'Pays Importations'!$D$6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'Pays Importations'!$A$10:$A$19</c:f>
              <c:strCache>
                <c:ptCount val="10"/>
                <c:pt idx="0">
                  <c:v>Espagne</c:v>
                </c:pt>
                <c:pt idx="1">
                  <c:v>Belgique</c:v>
                </c:pt>
                <c:pt idx="2">
                  <c:v>Pays-Bas</c:v>
                </c:pt>
                <c:pt idx="3">
                  <c:v>Allemagne</c:v>
                </c:pt>
                <c:pt idx="4">
                  <c:v>Italie</c:v>
                </c:pt>
                <c:pt idx="5">
                  <c:v>Royaume Uni</c:v>
                </c:pt>
                <c:pt idx="6">
                  <c:v>Pologne</c:v>
                </c:pt>
                <c:pt idx="7">
                  <c:v>Suisse</c:v>
                </c:pt>
                <c:pt idx="8">
                  <c:v>Brésil</c:v>
                </c:pt>
                <c:pt idx="9">
                  <c:v>Maroc</c:v>
                </c:pt>
              </c:strCache>
            </c:strRef>
          </c:cat>
          <c:val>
            <c:numRef>
              <c:f>'Pays Importations'!$D$10:$D$19</c:f>
              <c:numCache>
                <c:formatCode>#,##0</c:formatCode>
                <c:ptCount val="10"/>
                <c:pt idx="0">
                  <c:v>7072212265</c:v>
                </c:pt>
                <c:pt idx="1">
                  <c:v>6110790861</c:v>
                </c:pt>
                <c:pt idx="2">
                  <c:v>6106170595</c:v>
                </c:pt>
                <c:pt idx="3">
                  <c:v>5151176405</c:v>
                </c:pt>
                <c:pt idx="4">
                  <c:v>4284603540</c:v>
                </c:pt>
                <c:pt idx="5">
                  <c:v>3395092713</c:v>
                </c:pt>
                <c:pt idx="6">
                  <c:v>1997464166</c:v>
                </c:pt>
                <c:pt idx="7">
                  <c:v>1378629444</c:v>
                </c:pt>
                <c:pt idx="8">
                  <c:v>1274177971</c:v>
                </c:pt>
                <c:pt idx="9">
                  <c:v>1159989561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2787920"/>
        <c:axId val="381267336"/>
      </c:barChart>
      <c:catAx>
        <c:axId val="452787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81267336"/>
        <c:crosses val="autoZero"/>
        <c:auto val="1"/>
        <c:lblAlgn val="ctr"/>
        <c:lblOffset val="100"/>
        <c:noMultiLvlLbl val="0"/>
      </c:catAx>
      <c:valAx>
        <c:axId val="381267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52787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000" b="1" i="0" baseline="0">
                <a:effectLst/>
              </a:rPr>
              <a:t>Top 10 des soldes excédentaires et déficitaires</a:t>
            </a:r>
          </a:p>
          <a:p>
            <a:pPr>
              <a:defRPr/>
            </a:pPr>
            <a:r>
              <a:rPr lang="fr-FR" sz="1000" b="1">
                <a:effectLst/>
              </a:rPr>
              <a:t>Janvier-Septembre </a:t>
            </a:r>
          </a:p>
        </c:rich>
      </c:tx>
      <c:layout>
        <c:manualLayout>
          <c:xMode val="edge"/>
          <c:yMode val="edge"/>
          <c:x val="0.36095232860650028"/>
          <c:y val="2.43161094224924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'Pays balance'!$B$6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'Pays balance'!$A$10:$A$29</c:f>
              <c:strCache>
                <c:ptCount val="20"/>
                <c:pt idx="0">
                  <c:v>Etats-Unis</c:v>
                </c:pt>
                <c:pt idx="1">
                  <c:v>Chine</c:v>
                </c:pt>
                <c:pt idx="2">
                  <c:v>Royaume Uni</c:v>
                </c:pt>
                <c:pt idx="3">
                  <c:v>Japon</c:v>
                </c:pt>
                <c:pt idx="4">
                  <c:v>Allemagne</c:v>
                </c:pt>
                <c:pt idx="5">
                  <c:v>Algérie</c:v>
                </c:pt>
                <c:pt idx="6">
                  <c:v>Singapour</c:v>
                </c:pt>
                <c:pt idx="7">
                  <c:v>Italie</c:v>
                </c:pt>
                <c:pt idx="8">
                  <c:v>Belgique</c:v>
                </c:pt>
                <c:pt idx="9">
                  <c:v>Canada</c:v>
                </c:pt>
                <c:pt idx="10">
                  <c:v>Pérou</c:v>
                </c:pt>
                <c:pt idx="11">
                  <c:v>Équateur</c:v>
                </c:pt>
                <c:pt idx="12">
                  <c:v>Argentine</c:v>
                </c:pt>
                <c:pt idx="13">
                  <c:v>Inde</c:v>
                </c:pt>
                <c:pt idx="14">
                  <c:v>Norvège</c:v>
                </c:pt>
                <c:pt idx="15">
                  <c:v>Irlande</c:v>
                </c:pt>
                <c:pt idx="16">
                  <c:v>Pologne</c:v>
                </c:pt>
                <c:pt idx="17">
                  <c:v>Brésil</c:v>
                </c:pt>
                <c:pt idx="18">
                  <c:v>Pays-Bas</c:v>
                </c:pt>
                <c:pt idx="19">
                  <c:v>Espagne</c:v>
                </c:pt>
              </c:strCache>
            </c:strRef>
          </c:cat>
          <c:val>
            <c:numRef>
              <c:f>'Pays balance'!$B$10:$B$29</c:f>
              <c:numCache>
                <c:formatCode>#,##0</c:formatCode>
                <c:ptCount val="20"/>
                <c:pt idx="0">
                  <c:v>2541309917</c:v>
                </c:pt>
                <c:pt idx="1">
                  <c:v>1729985597</c:v>
                </c:pt>
                <c:pt idx="2">
                  <c:v>2067763015</c:v>
                </c:pt>
                <c:pt idx="3">
                  <c:v>783515155</c:v>
                </c:pt>
                <c:pt idx="4">
                  <c:v>474916069</c:v>
                </c:pt>
                <c:pt idx="5">
                  <c:v>1040413887</c:v>
                </c:pt>
                <c:pt idx="6">
                  <c:v>541978299</c:v>
                </c:pt>
                <c:pt idx="7">
                  <c:v>308979268</c:v>
                </c:pt>
                <c:pt idx="8">
                  <c:v>-118187040</c:v>
                </c:pt>
                <c:pt idx="9">
                  <c:v>117433528</c:v>
                </c:pt>
                <c:pt idx="10">
                  <c:v>-240102666</c:v>
                </c:pt>
                <c:pt idx="11">
                  <c:v>-277411254</c:v>
                </c:pt>
                <c:pt idx="12">
                  <c:v>-180964704</c:v>
                </c:pt>
                <c:pt idx="13">
                  <c:v>-246467837</c:v>
                </c:pt>
                <c:pt idx="14">
                  <c:v>-377455149</c:v>
                </c:pt>
                <c:pt idx="15">
                  <c:v>-330671680</c:v>
                </c:pt>
                <c:pt idx="16">
                  <c:v>-690627971</c:v>
                </c:pt>
                <c:pt idx="17">
                  <c:v>-721097964</c:v>
                </c:pt>
                <c:pt idx="18">
                  <c:v>-1596794778</c:v>
                </c:pt>
                <c:pt idx="19">
                  <c:v>-2498969219</c:v>
                </c:pt>
              </c:numCache>
            </c:numRef>
          </c:val>
        </c:ser>
        <c:ser>
          <c:idx val="1"/>
          <c:order val="1"/>
          <c:tx>
            <c:strRef>
              <c:f>'Pays balance'!$C$6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'Pays balance'!$A$10:$A$29</c:f>
              <c:strCache>
                <c:ptCount val="20"/>
                <c:pt idx="0">
                  <c:v>Etats-Unis</c:v>
                </c:pt>
                <c:pt idx="1">
                  <c:v>Chine</c:v>
                </c:pt>
                <c:pt idx="2">
                  <c:v>Royaume Uni</c:v>
                </c:pt>
                <c:pt idx="3">
                  <c:v>Japon</c:v>
                </c:pt>
                <c:pt idx="4">
                  <c:v>Allemagne</c:v>
                </c:pt>
                <c:pt idx="5">
                  <c:v>Algérie</c:v>
                </c:pt>
                <c:pt idx="6">
                  <c:v>Singapour</c:v>
                </c:pt>
                <c:pt idx="7">
                  <c:v>Italie</c:v>
                </c:pt>
                <c:pt idx="8">
                  <c:v>Belgique</c:v>
                </c:pt>
                <c:pt idx="9">
                  <c:v>Canada</c:v>
                </c:pt>
                <c:pt idx="10">
                  <c:v>Pérou</c:v>
                </c:pt>
                <c:pt idx="11">
                  <c:v>Équateur</c:v>
                </c:pt>
                <c:pt idx="12">
                  <c:v>Argentine</c:v>
                </c:pt>
                <c:pt idx="13">
                  <c:v>Inde</c:v>
                </c:pt>
                <c:pt idx="14">
                  <c:v>Norvège</c:v>
                </c:pt>
                <c:pt idx="15">
                  <c:v>Irlande</c:v>
                </c:pt>
                <c:pt idx="16">
                  <c:v>Pologne</c:v>
                </c:pt>
                <c:pt idx="17">
                  <c:v>Brésil</c:v>
                </c:pt>
                <c:pt idx="18">
                  <c:v>Pays-Bas</c:v>
                </c:pt>
                <c:pt idx="19">
                  <c:v>Espagne</c:v>
                </c:pt>
              </c:strCache>
            </c:strRef>
          </c:cat>
          <c:val>
            <c:numRef>
              <c:f>'Pays balance'!$C$10:$C$29</c:f>
              <c:numCache>
                <c:formatCode>#,##0</c:formatCode>
                <c:ptCount val="20"/>
                <c:pt idx="0">
                  <c:v>3710286383</c:v>
                </c:pt>
                <c:pt idx="1">
                  <c:v>2475891646</c:v>
                </c:pt>
                <c:pt idx="2">
                  <c:v>1228148479</c:v>
                </c:pt>
                <c:pt idx="3">
                  <c:v>801076726</c:v>
                </c:pt>
                <c:pt idx="4">
                  <c:v>625596760</c:v>
                </c:pt>
                <c:pt idx="5">
                  <c:v>649816354</c:v>
                </c:pt>
                <c:pt idx="6">
                  <c:v>791157988</c:v>
                </c:pt>
                <c:pt idx="7">
                  <c:v>128466031</c:v>
                </c:pt>
                <c:pt idx="8">
                  <c:v>246524875</c:v>
                </c:pt>
                <c:pt idx="9">
                  <c:v>278697330</c:v>
                </c:pt>
                <c:pt idx="10">
                  <c:v>-263454657</c:v>
                </c:pt>
                <c:pt idx="11">
                  <c:v>-334016932</c:v>
                </c:pt>
                <c:pt idx="12">
                  <c:v>-267008157</c:v>
                </c:pt>
                <c:pt idx="13">
                  <c:v>-380386620</c:v>
                </c:pt>
                <c:pt idx="14">
                  <c:v>-354976037</c:v>
                </c:pt>
                <c:pt idx="15">
                  <c:v>-326814488</c:v>
                </c:pt>
                <c:pt idx="16">
                  <c:v>-657670787</c:v>
                </c:pt>
                <c:pt idx="17">
                  <c:v>-752265500</c:v>
                </c:pt>
                <c:pt idx="18">
                  <c:v>-1822216568</c:v>
                </c:pt>
                <c:pt idx="19">
                  <c:v>-2495330132</c:v>
                </c:pt>
              </c:numCache>
            </c:numRef>
          </c:val>
        </c:ser>
        <c:ser>
          <c:idx val="2"/>
          <c:order val="2"/>
          <c:tx>
            <c:strRef>
              <c:f>'Pays balance'!$D$6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'Pays balance'!$A$10:$A$29</c:f>
              <c:strCache>
                <c:ptCount val="20"/>
                <c:pt idx="0">
                  <c:v>Etats-Unis</c:v>
                </c:pt>
                <c:pt idx="1">
                  <c:v>Chine</c:v>
                </c:pt>
                <c:pt idx="2">
                  <c:v>Royaume Uni</c:v>
                </c:pt>
                <c:pt idx="3">
                  <c:v>Japon</c:v>
                </c:pt>
                <c:pt idx="4">
                  <c:v>Allemagne</c:v>
                </c:pt>
                <c:pt idx="5">
                  <c:v>Algérie</c:v>
                </c:pt>
                <c:pt idx="6">
                  <c:v>Singapour</c:v>
                </c:pt>
                <c:pt idx="7">
                  <c:v>Italie</c:v>
                </c:pt>
                <c:pt idx="8">
                  <c:v>Belgique</c:v>
                </c:pt>
                <c:pt idx="9">
                  <c:v>Canada</c:v>
                </c:pt>
                <c:pt idx="10">
                  <c:v>Pérou</c:v>
                </c:pt>
                <c:pt idx="11">
                  <c:v>Équateur</c:v>
                </c:pt>
                <c:pt idx="12">
                  <c:v>Argentine</c:v>
                </c:pt>
                <c:pt idx="13">
                  <c:v>Inde</c:v>
                </c:pt>
                <c:pt idx="14">
                  <c:v>Norvège</c:v>
                </c:pt>
                <c:pt idx="15">
                  <c:v>Irlande</c:v>
                </c:pt>
                <c:pt idx="16">
                  <c:v>Pologne</c:v>
                </c:pt>
                <c:pt idx="17">
                  <c:v>Brésil</c:v>
                </c:pt>
                <c:pt idx="18">
                  <c:v>Pays-Bas</c:v>
                </c:pt>
                <c:pt idx="19">
                  <c:v>Espagne</c:v>
                </c:pt>
              </c:strCache>
            </c:strRef>
          </c:cat>
          <c:val>
            <c:numRef>
              <c:f>'Pays balance'!$D$10:$D$29</c:f>
              <c:numCache>
                <c:formatCode>#,##0</c:formatCode>
                <c:ptCount val="20"/>
                <c:pt idx="0">
                  <c:v>4492883345</c:v>
                </c:pt>
                <c:pt idx="1">
                  <c:v>1698647105</c:v>
                </c:pt>
                <c:pt idx="2">
                  <c:v>1004433200</c:v>
                </c:pt>
                <c:pt idx="3">
                  <c:v>942498832</c:v>
                </c:pt>
                <c:pt idx="4">
                  <c:v>923210890</c:v>
                </c:pt>
                <c:pt idx="5">
                  <c:v>922644047</c:v>
                </c:pt>
                <c:pt idx="6">
                  <c:v>805651049</c:v>
                </c:pt>
                <c:pt idx="7">
                  <c:v>670555885</c:v>
                </c:pt>
                <c:pt idx="8">
                  <c:v>661167858</c:v>
                </c:pt>
                <c:pt idx="9">
                  <c:v>428661494</c:v>
                </c:pt>
                <c:pt idx="10">
                  <c:v>-333866382</c:v>
                </c:pt>
                <c:pt idx="11">
                  <c:v>-351168487</c:v>
                </c:pt>
                <c:pt idx="12">
                  <c:v>-358676509</c:v>
                </c:pt>
                <c:pt idx="13">
                  <c:v>-408777541</c:v>
                </c:pt>
                <c:pt idx="14">
                  <c:v>-479317834</c:v>
                </c:pt>
                <c:pt idx="15">
                  <c:v>-511400418</c:v>
                </c:pt>
                <c:pt idx="16">
                  <c:v>-1019215324</c:v>
                </c:pt>
                <c:pt idx="17">
                  <c:v>-1155386311</c:v>
                </c:pt>
                <c:pt idx="18">
                  <c:v>-1867897035</c:v>
                </c:pt>
                <c:pt idx="19">
                  <c:v>-1975811347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1268904"/>
        <c:axId val="381265376"/>
      </c:barChart>
      <c:catAx>
        <c:axId val="381268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81265376"/>
        <c:crosses val="autoZero"/>
        <c:auto val="1"/>
        <c:lblAlgn val="ctr"/>
        <c:lblOffset val="100"/>
        <c:noMultiLvlLbl val="0"/>
      </c:catAx>
      <c:valAx>
        <c:axId val="381265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81268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000" b="1" i="0" baseline="0">
                <a:effectLst/>
              </a:rPr>
              <a:t>Balance commerciale de la France</a:t>
            </a:r>
            <a:endParaRPr lang="fr-FR" sz="1000">
              <a:effectLst/>
            </a:endParaRPr>
          </a:p>
          <a:p>
            <a:pPr>
              <a:defRPr/>
            </a:pPr>
            <a:r>
              <a:rPr lang="fr-FR" sz="1000" b="1" i="0" baseline="0">
                <a:effectLst/>
              </a:rPr>
              <a:t>Tous produits agricoles et agroalimentaires</a:t>
            </a:r>
          </a:p>
          <a:p>
            <a:pPr>
              <a:defRPr/>
            </a:pPr>
            <a:r>
              <a:rPr lang="fr-FR" sz="1000" b="1" i="0" baseline="0">
                <a:effectLst/>
              </a:rPr>
              <a:t>Janvier-Septembre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'Produits balance'!$C$6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'Produits balance'!$B$8:$B$31</c:f>
              <c:strCache>
                <c:ptCount val="24"/>
                <c:pt idx="0">
                  <c:v>SH 22 - Boissons et alcools</c:v>
                </c:pt>
                <c:pt idx="1">
                  <c:v>SH 10 - Céréales</c:v>
                </c:pt>
                <c:pt idx="2">
                  <c:v>SH 01 - Animaux vivants</c:v>
                </c:pt>
                <c:pt idx="3">
                  <c:v>SH 04 - Lait, produits laitiers, œufs, miel</c:v>
                </c:pt>
                <c:pt idx="4">
                  <c:v>SH 17 - Sucres et sucreries</c:v>
                </c:pt>
                <c:pt idx="5">
                  <c:v>SH 19 - Préparations à base de céréales</c:v>
                </c:pt>
                <c:pt idx="6">
                  <c:v>SH 11 - Produits de la minoterie, malt</c:v>
                </c:pt>
                <c:pt idx="7">
                  <c:v>SH 13 - Gommes, résines</c:v>
                </c:pt>
                <c:pt idx="8">
                  <c:v>SH 12 - Oléagineux, graines, semences</c:v>
                </c:pt>
                <c:pt idx="9">
                  <c:v>SH 23 - Résidus des industries alimentaires</c:v>
                </c:pt>
                <c:pt idx="10">
                  <c:v>SH 21 - Préparations alimentaires diverses</c:v>
                </c:pt>
                <c:pt idx="11">
                  <c:v>SH 14 - Autres produits végétaux</c:v>
                </c:pt>
                <c:pt idx="12">
                  <c:v>SH 05 - Autres produits animaux</c:v>
                </c:pt>
                <c:pt idx="13">
                  <c:v>SH 15 - Graisses animales ou végétales</c:v>
                </c:pt>
                <c:pt idx="14">
                  <c:v>SH 24 - Tabacs</c:v>
                </c:pt>
                <c:pt idx="15">
                  <c:v>SH 06 - Plantes vivantes</c:v>
                </c:pt>
                <c:pt idx="16">
                  <c:v>SH 07 - Légumes</c:v>
                </c:pt>
                <c:pt idx="17">
                  <c:v>SH 18 - Cacao et ses préparations</c:v>
                </c:pt>
                <c:pt idx="18">
                  <c:v>SH 16 - Préparations de viande, de poissons</c:v>
                </c:pt>
                <c:pt idx="19">
                  <c:v>SH 20 - Préparations de légumes, de fruits</c:v>
                </c:pt>
                <c:pt idx="20">
                  <c:v>SH 02 - Viandes et abats</c:v>
                </c:pt>
                <c:pt idx="21">
                  <c:v>SH 09 - Café, thé, épices</c:v>
                </c:pt>
                <c:pt idx="22">
                  <c:v>SH 03 - Poissons et crustacés</c:v>
                </c:pt>
                <c:pt idx="23">
                  <c:v>SH 08 - Fruits</c:v>
                </c:pt>
              </c:strCache>
            </c:strRef>
          </c:cat>
          <c:val>
            <c:numRef>
              <c:f>'Produits balance'!$C$8:$C$31</c:f>
              <c:numCache>
                <c:formatCode>#,##0</c:formatCode>
                <c:ptCount val="24"/>
                <c:pt idx="0">
                  <c:v>7748031214</c:v>
                </c:pt>
                <c:pt idx="1">
                  <c:v>4721005919</c:v>
                </c:pt>
                <c:pt idx="2">
                  <c:v>1375552525</c:v>
                </c:pt>
                <c:pt idx="3">
                  <c:v>1780254199</c:v>
                </c:pt>
                <c:pt idx="4">
                  <c:v>639755249</c:v>
                </c:pt>
                <c:pt idx="5">
                  <c:v>423211810</c:v>
                </c:pt>
                <c:pt idx="6">
                  <c:v>261102566</c:v>
                </c:pt>
                <c:pt idx="7">
                  <c:v>195245709</c:v>
                </c:pt>
                <c:pt idx="8">
                  <c:v>70135481</c:v>
                </c:pt>
                <c:pt idx="9">
                  <c:v>140883622</c:v>
                </c:pt>
                <c:pt idx="10">
                  <c:v>294859729</c:v>
                </c:pt>
                <c:pt idx="11">
                  <c:v>-20269463</c:v>
                </c:pt>
                <c:pt idx="12">
                  <c:v>-147866571</c:v>
                </c:pt>
                <c:pt idx="13">
                  <c:v>-553346896</c:v>
                </c:pt>
                <c:pt idx="14">
                  <c:v>-985717986</c:v>
                </c:pt>
                <c:pt idx="15">
                  <c:v>-668480713</c:v>
                </c:pt>
                <c:pt idx="16">
                  <c:v>-785181071</c:v>
                </c:pt>
                <c:pt idx="17">
                  <c:v>-944650732</c:v>
                </c:pt>
                <c:pt idx="18">
                  <c:v>-937390834</c:v>
                </c:pt>
                <c:pt idx="19">
                  <c:v>-1456648569</c:v>
                </c:pt>
                <c:pt idx="20">
                  <c:v>-831385992</c:v>
                </c:pt>
                <c:pt idx="21">
                  <c:v>-1165212177</c:v>
                </c:pt>
                <c:pt idx="22">
                  <c:v>-2441704761</c:v>
                </c:pt>
                <c:pt idx="23">
                  <c:v>-3091911064</c:v>
                </c:pt>
              </c:numCache>
            </c:numRef>
          </c:val>
        </c:ser>
        <c:ser>
          <c:idx val="1"/>
          <c:order val="1"/>
          <c:tx>
            <c:strRef>
              <c:f>'Produits balance'!$D$6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'Produits balance'!$B$8:$B$31</c:f>
              <c:strCache>
                <c:ptCount val="24"/>
                <c:pt idx="0">
                  <c:v>SH 22 - Boissons et alcools</c:v>
                </c:pt>
                <c:pt idx="1">
                  <c:v>SH 10 - Céréales</c:v>
                </c:pt>
                <c:pt idx="2">
                  <c:v>SH 01 - Animaux vivants</c:v>
                </c:pt>
                <c:pt idx="3">
                  <c:v>SH 04 - Lait, produits laitiers, œufs, miel</c:v>
                </c:pt>
                <c:pt idx="4">
                  <c:v>SH 17 - Sucres et sucreries</c:v>
                </c:pt>
                <c:pt idx="5">
                  <c:v>SH 19 - Préparations à base de céréales</c:v>
                </c:pt>
                <c:pt idx="6">
                  <c:v>SH 11 - Produits de la minoterie, malt</c:v>
                </c:pt>
                <c:pt idx="7">
                  <c:v>SH 13 - Gommes, résines</c:v>
                </c:pt>
                <c:pt idx="8">
                  <c:v>SH 12 - Oléagineux, graines, semences</c:v>
                </c:pt>
                <c:pt idx="9">
                  <c:v>SH 23 - Résidus des industries alimentaires</c:v>
                </c:pt>
                <c:pt idx="10">
                  <c:v>SH 21 - Préparations alimentaires diverses</c:v>
                </c:pt>
                <c:pt idx="11">
                  <c:v>SH 14 - Autres produits végétaux</c:v>
                </c:pt>
                <c:pt idx="12">
                  <c:v>SH 05 - Autres produits animaux</c:v>
                </c:pt>
                <c:pt idx="13">
                  <c:v>SH 15 - Graisses animales ou végétales</c:v>
                </c:pt>
                <c:pt idx="14">
                  <c:v>SH 24 - Tabacs</c:v>
                </c:pt>
                <c:pt idx="15">
                  <c:v>SH 06 - Plantes vivantes</c:v>
                </c:pt>
                <c:pt idx="16">
                  <c:v>SH 07 - Légumes</c:v>
                </c:pt>
                <c:pt idx="17">
                  <c:v>SH 18 - Cacao et ses préparations</c:v>
                </c:pt>
                <c:pt idx="18">
                  <c:v>SH 16 - Préparations de viande, de poissons</c:v>
                </c:pt>
                <c:pt idx="19">
                  <c:v>SH 20 - Préparations de légumes, de fruits</c:v>
                </c:pt>
                <c:pt idx="20">
                  <c:v>SH 02 - Viandes et abats</c:v>
                </c:pt>
                <c:pt idx="21">
                  <c:v>SH 09 - Café, thé, épices</c:v>
                </c:pt>
                <c:pt idx="22">
                  <c:v>SH 03 - Poissons et crustacés</c:v>
                </c:pt>
                <c:pt idx="23">
                  <c:v>SH 08 - Fruits</c:v>
                </c:pt>
              </c:strCache>
            </c:strRef>
          </c:cat>
          <c:val>
            <c:numRef>
              <c:f>'Produits balance'!$D$8:$D$31</c:f>
              <c:numCache>
                <c:formatCode>#,##0</c:formatCode>
                <c:ptCount val="24"/>
                <c:pt idx="0">
                  <c:v>10579942181</c:v>
                </c:pt>
                <c:pt idx="1">
                  <c:v>4214595682</c:v>
                </c:pt>
                <c:pt idx="2">
                  <c:v>1284915052</c:v>
                </c:pt>
                <c:pt idx="3">
                  <c:v>1852114066</c:v>
                </c:pt>
                <c:pt idx="4">
                  <c:v>461364460</c:v>
                </c:pt>
                <c:pt idx="5">
                  <c:v>511095595</c:v>
                </c:pt>
                <c:pt idx="6">
                  <c:v>316071962</c:v>
                </c:pt>
                <c:pt idx="7">
                  <c:v>212136905</c:v>
                </c:pt>
                <c:pt idx="8">
                  <c:v>82314048</c:v>
                </c:pt>
                <c:pt idx="9">
                  <c:v>7901809</c:v>
                </c:pt>
                <c:pt idx="10">
                  <c:v>202652659</c:v>
                </c:pt>
                <c:pt idx="11">
                  <c:v>-32302309</c:v>
                </c:pt>
                <c:pt idx="12">
                  <c:v>-157763385</c:v>
                </c:pt>
                <c:pt idx="13">
                  <c:v>-566503396</c:v>
                </c:pt>
                <c:pt idx="14">
                  <c:v>-905324201</c:v>
                </c:pt>
                <c:pt idx="15">
                  <c:v>-875628372</c:v>
                </c:pt>
                <c:pt idx="16">
                  <c:v>-908595360</c:v>
                </c:pt>
                <c:pt idx="17">
                  <c:v>-941428994</c:v>
                </c:pt>
                <c:pt idx="18">
                  <c:v>-898392275</c:v>
                </c:pt>
                <c:pt idx="19">
                  <c:v>-1419680572</c:v>
                </c:pt>
                <c:pt idx="20">
                  <c:v>-870532405</c:v>
                </c:pt>
                <c:pt idx="21">
                  <c:v>-1251000898</c:v>
                </c:pt>
                <c:pt idx="22">
                  <c:v>-2619717256</c:v>
                </c:pt>
                <c:pt idx="23">
                  <c:v>-3257569458</c:v>
                </c:pt>
              </c:numCache>
            </c:numRef>
          </c:val>
        </c:ser>
        <c:ser>
          <c:idx val="2"/>
          <c:order val="2"/>
          <c:tx>
            <c:strRef>
              <c:f>'Produits balance'!$E$6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'Produits balance'!$B$8:$B$31</c:f>
              <c:strCache>
                <c:ptCount val="24"/>
                <c:pt idx="0">
                  <c:v>SH 22 - Boissons et alcools</c:v>
                </c:pt>
                <c:pt idx="1">
                  <c:v>SH 10 - Céréales</c:v>
                </c:pt>
                <c:pt idx="2">
                  <c:v>SH 01 - Animaux vivants</c:v>
                </c:pt>
                <c:pt idx="3">
                  <c:v>SH 04 - Lait, produits laitiers, œufs, miel</c:v>
                </c:pt>
                <c:pt idx="4">
                  <c:v>SH 17 - Sucres et sucreries</c:v>
                </c:pt>
                <c:pt idx="5">
                  <c:v>SH 19 - Préparations à base de céréales</c:v>
                </c:pt>
                <c:pt idx="6">
                  <c:v>SH 11 - Produits de la minoterie, malt</c:v>
                </c:pt>
                <c:pt idx="7">
                  <c:v>SH 13 - Gommes, résines</c:v>
                </c:pt>
                <c:pt idx="8">
                  <c:v>SH 12 - Oléagineux, graines, semences</c:v>
                </c:pt>
                <c:pt idx="9">
                  <c:v>SH 23 - Résidus des industries alimentaires</c:v>
                </c:pt>
                <c:pt idx="10">
                  <c:v>SH 21 - Préparations alimentaires diverses</c:v>
                </c:pt>
                <c:pt idx="11">
                  <c:v>SH 14 - Autres produits végétaux</c:v>
                </c:pt>
                <c:pt idx="12">
                  <c:v>SH 05 - Autres produits animaux</c:v>
                </c:pt>
                <c:pt idx="13">
                  <c:v>SH 15 - Graisses animales ou végétales</c:v>
                </c:pt>
                <c:pt idx="14">
                  <c:v>SH 24 - Tabacs</c:v>
                </c:pt>
                <c:pt idx="15">
                  <c:v>SH 06 - Plantes vivantes</c:v>
                </c:pt>
                <c:pt idx="16">
                  <c:v>SH 07 - Légumes</c:v>
                </c:pt>
                <c:pt idx="17">
                  <c:v>SH 18 - Cacao et ses préparations</c:v>
                </c:pt>
                <c:pt idx="18">
                  <c:v>SH 16 - Préparations de viande, de poissons</c:v>
                </c:pt>
                <c:pt idx="19">
                  <c:v>SH 20 - Préparations de légumes, de fruits</c:v>
                </c:pt>
                <c:pt idx="20">
                  <c:v>SH 02 - Viandes et abats</c:v>
                </c:pt>
                <c:pt idx="21">
                  <c:v>SH 09 - Café, thé, épices</c:v>
                </c:pt>
                <c:pt idx="22">
                  <c:v>SH 03 - Poissons et crustacés</c:v>
                </c:pt>
                <c:pt idx="23">
                  <c:v>SH 08 - Fruits</c:v>
                </c:pt>
              </c:strCache>
            </c:strRef>
          </c:cat>
          <c:val>
            <c:numRef>
              <c:f>'Produits balance'!$E$8:$E$31</c:f>
              <c:numCache>
                <c:formatCode>#,##0</c:formatCode>
                <c:ptCount val="24"/>
                <c:pt idx="0">
                  <c:v>11598690154</c:v>
                </c:pt>
                <c:pt idx="1">
                  <c:v>7657918356</c:v>
                </c:pt>
                <c:pt idx="2">
                  <c:v>1449609868</c:v>
                </c:pt>
                <c:pt idx="3">
                  <c:v>1266895377</c:v>
                </c:pt>
                <c:pt idx="4">
                  <c:v>805764153</c:v>
                </c:pt>
                <c:pt idx="5">
                  <c:v>644752187</c:v>
                </c:pt>
                <c:pt idx="6">
                  <c:v>291229762</c:v>
                </c:pt>
                <c:pt idx="7">
                  <c:v>178576729</c:v>
                </c:pt>
                <c:pt idx="8">
                  <c:v>114257855</c:v>
                </c:pt>
                <c:pt idx="9">
                  <c:v>92514039</c:v>
                </c:pt>
                <c:pt idx="10">
                  <c:v>12738751</c:v>
                </c:pt>
                <c:pt idx="11">
                  <c:v>-36575493</c:v>
                </c:pt>
                <c:pt idx="12">
                  <c:v>-247675556</c:v>
                </c:pt>
                <c:pt idx="13">
                  <c:v>-750274082</c:v>
                </c:pt>
                <c:pt idx="14">
                  <c:v>-833321878</c:v>
                </c:pt>
                <c:pt idx="15">
                  <c:v>-859273959</c:v>
                </c:pt>
                <c:pt idx="16">
                  <c:v>-895811287</c:v>
                </c:pt>
                <c:pt idx="17">
                  <c:v>-973340555</c:v>
                </c:pt>
                <c:pt idx="18">
                  <c:v>-1106189565</c:v>
                </c:pt>
                <c:pt idx="19">
                  <c:v>-1489822912</c:v>
                </c:pt>
                <c:pt idx="20">
                  <c:v>-1759680685</c:v>
                </c:pt>
                <c:pt idx="21">
                  <c:v>-1769824580</c:v>
                </c:pt>
                <c:pt idx="22">
                  <c:v>-3247397457</c:v>
                </c:pt>
                <c:pt idx="23">
                  <c:v>-3283049774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9852168"/>
        <c:axId val="379850208"/>
      </c:barChart>
      <c:catAx>
        <c:axId val="379852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79850208"/>
        <c:crosses val="autoZero"/>
        <c:auto val="1"/>
        <c:lblAlgn val="ctr"/>
        <c:lblOffset val="100"/>
        <c:noMultiLvlLbl val="0"/>
      </c:catAx>
      <c:valAx>
        <c:axId val="379850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79852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FA4F0-0902-495A-8A09-6578A56DD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1516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9840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GAULTIER Anatole</dc:creator>
  <cp:keywords/>
  <dc:description/>
  <cp:lastModifiedBy>RAFFIN Regis</cp:lastModifiedBy>
  <cp:revision>2</cp:revision>
  <dcterms:created xsi:type="dcterms:W3CDTF">2022-11-28T13:48:00Z</dcterms:created>
  <dcterms:modified xsi:type="dcterms:W3CDTF">2022-11-28T13:48:00Z</dcterms:modified>
</cp:coreProperties>
</file>