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D4E" w:rsidRDefault="004B4D4E" w:rsidP="004B4D4E">
      <w:pPr>
        <w:ind w:left="142"/>
        <w:jc w:val="both"/>
        <w:rPr>
          <w:rStyle w:val="Aucun"/>
          <w:rFonts w:ascii="Marianne" w:hAnsi="Marianne"/>
          <w:b/>
          <w:sz w:val="22"/>
          <w:szCs w:val="20"/>
          <w:lang w:eastAsia="fr-FR"/>
        </w:rPr>
      </w:pPr>
      <w:r>
        <w:rPr>
          <w:rStyle w:val="Aucun"/>
          <w:rFonts w:ascii="Marianne" w:hAnsi="Marianne"/>
          <w:b/>
          <w:sz w:val="22"/>
          <w:szCs w:val="20"/>
          <w:lang w:eastAsia="fr-FR"/>
        </w:rPr>
        <w:t>ANNEXE 7 ter</w:t>
      </w:r>
      <w:r>
        <w:rPr>
          <w:rStyle w:val="Aucun"/>
          <w:rFonts w:ascii="Calibri" w:hAnsi="Calibri" w:cs="Calibri"/>
          <w:b/>
          <w:sz w:val="22"/>
          <w:szCs w:val="20"/>
          <w:lang w:eastAsia="fr-FR"/>
        </w:rPr>
        <w:t> </w:t>
      </w:r>
      <w:r>
        <w:rPr>
          <w:rStyle w:val="Aucun"/>
          <w:rFonts w:ascii="Marianne" w:hAnsi="Marianne"/>
          <w:b/>
          <w:sz w:val="22"/>
          <w:szCs w:val="20"/>
          <w:lang w:eastAsia="fr-FR"/>
        </w:rPr>
        <w:t>:</w:t>
      </w:r>
      <w:r w:rsidRPr="005035B3">
        <w:rPr>
          <w:rFonts w:ascii="Marianne" w:hAnsi="Marianne"/>
        </w:rPr>
        <w:t xml:space="preserve"> </w:t>
      </w:r>
      <w:r w:rsidR="00176369">
        <w:rPr>
          <w:rFonts w:ascii="Marianne" w:hAnsi="Marianne"/>
        </w:rPr>
        <w:t>METHODE DE</w:t>
      </w:r>
      <w:bookmarkStart w:id="0" w:name="_GoBack"/>
      <w:bookmarkEnd w:id="0"/>
      <w:r w:rsidR="00176369">
        <w:rPr>
          <w:rFonts w:ascii="Marianne" w:hAnsi="Marianne"/>
        </w:rPr>
        <w:t xml:space="preserve"> </w:t>
      </w:r>
      <w:r w:rsidRPr="000157E7">
        <w:rPr>
          <w:rFonts w:ascii="Marianne" w:hAnsi="Marianne"/>
        </w:rPr>
        <w:t>DETERMINATION DE L’EXCEDENT BRUT D’EXPLOITATION</w:t>
      </w:r>
    </w:p>
    <w:tbl>
      <w:tblPr>
        <w:tblpPr w:leftFromText="141" w:rightFromText="141" w:vertAnchor="page" w:horzAnchor="margin" w:tblpY="151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1418"/>
        <w:gridCol w:w="7654"/>
      </w:tblGrid>
      <w:tr w:rsidR="004B4D4E" w:rsidRPr="00C71FCD" w:rsidTr="00C52492">
        <w:trPr>
          <w:trHeight w:val="300"/>
        </w:trPr>
        <w:tc>
          <w:tcPr>
            <w:tcW w:w="1129" w:type="dxa"/>
            <w:shd w:val="clear" w:color="auto" w:fill="auto"/>
            <w:noWrap/>
            <w:vAlign w:val="bottom"/>
          </w:tcPr>
          <w:p w:rsidR="004B4D4E" w:rsidRPr="00C71FCD" w:rsidRDefault="004B4D4E" w:rsidP="00C52492">
            <w:pPr>
              <w:jc w:val="center"/>
              <w:rPr>
                <w:rFonts w:ascii="Marianne" w:eastAsia="Times New Roman" w:hAnsi="Marianne" w:cs="Arial"/>
                <w:color w:val="000000"/>
                <w:sz w:val="14"/>
                <w:szCs w:val="14"/>
                <w:lang w:eastAsia="fr-FR"/>
              </w:rPr>
            </w:pPr>
            <w:r w:rsidRPr="00C71FCD">
              <w:rPr>
                <w:rFonts w:ascii="Marianne" w:eastAsia="Times New Roman" w:hAnsi="Marianne" w:cs="Arial"/>
                <w:b/>
                <w:bCs/>
                <w:color w:val="000000"/>
                <w:sz w:val="14"/>
                <w:szCs w:val="14"/>
                <w:lang w:eastAsia="fr-FR"/>
              </w:rPr>
              <w:t>Référence liasse fiscale 2052-SD et 2053-SD</w:t>
            </w:r>
          </w:p>
        </w:tc>
        <w:tc>
          <w:tcPr>
            <w:tcW w:w="1418" w:type="dxa"/>
            <w:tcBorders>
              <w:right w:val="single" w:sz="4" w:space="0" w:color="auto"/>
            </w:tcBorders>
            <w:shd w:val="clear" w:color="auto" w:fill="auto"/>
            <w:noWrap/>
            <w:vAlign w:val="center"/>
          </w:tcPr>
          <w:p w:rsidR="004B4D4E" w:rsidRPr="00C71FCD" w:rsidRDefault="004B4D4E" w:rsidP="00C52492">
            <w:pPr>
              <w:jc w:val="cente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N° compte</w:t>
            </w:r>
          </w:p>
        </w:tc>
        <w:tc>
          <w:tcPr>
            <w:tcW w:w="7654" w:type="dxa"/>
            <w:tcBorders>
              <w:top w:val="nil"/>
              <w:left w:val="single" w:sz="4" w:space="0" w:color="auto"/>
              <w:bottom w:val="single" w:sz="4" w:space="0" w:color="auto"/>
              <w:right w:val="nil"/>
            </w:tcBorders>
            <w:shd w:val="clear" w:color="auto" w:fill="auto"/>
            <w:noWrap/>
            <w:vAlign w:val="bottom"/>
          </w:tcPr>
          <w:p w:rsidR="004B4D4E" w:rsidRPr="00C71FCD" w:rsidRDefault="004B4D4E" w:rsidP="00C52492">
            <w:pPr>
              <w:rPr>
                <w:rFonts w:ascii="Marianne" w:eastAsia="Times New Roman" w:hAnsi="Marianne" w:cs="Arial"/>
                <w:color w:val="000000"/>
                <w:sz w:val="14"/>
                <w:szCs w:val="14"/>
                <w:lang w:eastAsia="fr-FR"/>
              </w:rPr>
            </w:pP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FC</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707-7097</w:t>
            </w:r>
          </w:p>
        </w:tc>
        <w:tc>
          <w:tcPr>
            <w:tcW w:w="7654" w:type="dxa"/>
            <w:tcBorders>
              <w:top w:val="single" w:sz="4" w:space="0" w:color="auto"/>
            </w:tcBorders>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Ventes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FF + FI</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70-709</w:t>
            </w:r>
          </w:p>
        </w:tc>
        <w:tc>
          <w:tcPr>
            <w:tcW w:w="7654"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Production vendue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FL</w:t>
            </w:r>
          </w:p>
        </w:tc>
        <w:tc>
          <w:tcPr>
            <w:tcW w:w="1418" w:type="dxa"/>
            <w:shd w:val="clear" w:color="auto" w:fill="auto"/>
            <w:noWrap/>
            <w:vAlign w:val="bottom"/>
            <w:hideMark/>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 </w:t>
            </w:r>
          </w:p>
        </w:tc>
        <w:tc>
          <w:tcPr>
            <w:tcW w:w="7654" w:type="dxa"/>
            <w:shd w:val="clear" w:color="auto" w:fill="auto"/>
            <w:noWrap/>
            <w:vAlign w:val="bottom"/>
            <w:hideMark/>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Chiffre d'affaires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FM</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713</w:t>
            </w:r>
          </w:p>
        </w:tc>
        <w:tc>
          <w:tcPr>
            <w:tcW w:w="7654"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Production stockée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FN</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72</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Production immobilisée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FO</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74</w:t>
            </w:r>
          </w:p>
        </w:tc>
        <w:tc>
          <w:tcPr>
            <w:tcW w:w="7654" w:type="dxa"/>
            <w:shd w:val="clear" w:color="auto" w:fill="auto"/>
            <w:noWrap/>
            <w:vAlign w:val="bottom"/>
            <w:hideMark/>
          </w:tcPr>
          <w:p w:rsidR="004B4D4E" w:rsidRPr="00702A1E" w:rsidRDefault="004B4D4E" w:rsidP="004B4D4E">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 xml:space="preserve">Subvention exploitation </w:t>
            </w:r>
            <w:r>
              <w:rPr>
                <w:rFonts w:ascii="Marianne" w:eastAsia="Times New Roman" w:hAnsi="Marianne" w:cs="Arial"/>
                <w:b/>
                <w:color w:val="000000"/>
                <w:sz w:val="14"/>
                <w:szCs w:val="14"/>
                <w:lang w:eastAsia="fr-FR"/>
              </w:rPr>
              <w:t>(NB</w:t>
            </w:r>
            <w:r w:rsidRPr="00702A1E">
              <w:rPr>
                <w:rFonts w:ascii="Marianne" w:eastAsia="Times New Roman" w:hAnsi="Marianne" w:cs="Arial"/>
                <w:b/>
                <w:color w:val="000000"/>
                <w:sz w:val="14"/>
                <w:szCs w:val="14"/>
                <w:lang w:eastAsia="fr-FR"/>
              </w:rPr>
              <w:t>)</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262"/>
              <w:rPr>
                <w:rFonts w:ascii="Marianne" w:eastAsia="Times New Roman" w:hAnsi="Marianne" w:cs="Arial"/>
                <w:i/>
                <w:color w:val="000000"/>
                <w:sz w:val="14"/>
                <w:szCs w:val="14"/>
                <w:lang w:eastAsia="fr-FR"/>
              </w:rPr>
            </w:pPr>
            <w:r w:rsidRPr="00702A1E">
              <w:rPr>
                <w:rFonts w:ascii="Marianne" w:eastAsia="Times New Roman" w:hAnsi="Marianne" w:cs="Arial"/>
                <w:i/>
                <w:color w:val="000000"/>
                <w:sz w:val="14"/>
                <w:szCs w:val="14"/>
                <w:lang w:eastAsia="fr-FR"/>
              </w:rPr>
              <w:t>- directement liés à l'activité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262"/>
              <w:rPr>
                <w:rFonts w:ascii="Marianne" w:eastAsia="Times New Roman" w:hAnsi="Marianne" w:cs="Arial"/>
                <w:i/>
                <w:color w:val="000000"/>
                <w:sz w:val="14"/>
                <w:szCs w:val="14"/>
                <w:lang w:eastAsia="fr-FR"/>
              </w:rPr>
            </w:pPr>
            <w:r w:rsidRPr="00702A1E">
              <w:rPr>
                <w:rFonts w:ascii="Marianne" w:eastAsia="Times New Roman" w:hAnsi="Marianne" w:cs="Arial"/>
                <w:i/>
                <w:color w:val="000000"/>
                <w:sz w:val="14"/>
                <w:szCs w:val="14"/>
                <w:lang w:eastAsia="fr-FR"/>
              </w:rPr>
              <w:t xml:space="preserve">- non affectables et à retenir au prorata du CA =  subvention exploitation non affectable </w:t>
            </w:r>
            <w:r w:rsidRPr="00702A1E">
              <w:rPr>
                <w:rFonts w:ascii="Marianne" w:eastAsia="Times New Roman" w:hAnsi="Marianne" w:cs="Arial"/>
                <w:i/>
                <w:iCs/>
                <w:color w:val="000000"/>
                <w:sz w:val="14"/>
                <w:szCs w:val="14"/>
                <w:lang w:eastAsia="fr-FR"/>
              </w:rPr>
              <w:t xml:space="preserve"> x taux d’affectation (CA volailles-œufs en ZR / CA total)</w:t>
            </w:r>
          </w:p>
        </w:tc>
      </w:tr>
      <w:tr w:rsidR="004B4D4E" w:rsidRPr="00C71FCD" w:rsidTr="00C52492">
        <w:trPr>
          <w:trHeight w:val="303"/>
        </w:trPr>
        <w:tc>
          <w:tcPr>
            <w:tcW w:w="1129" w:type="dxa"/>
            <w:shd w:val="clear" w:color="auto" w:fill="auto"/>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FP - renvoi 9</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791</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Transfert de charges liés à l'activité volailles/œufs en provenance de la ZR</w:t>
            </w:r>
          </w:p>
        </w:tc>
      </w:tr>
      <w:tr w:rsidR="004B4D4E" w:rsidRPr="00C71FCD" w:rsidTr="00C52492">
        <w:trPr>
          <w:trHeight w:val="300"/>
        </w:trPr>
        <w:tc>
          <w:tcPr>
            <w:tcW w:w="1129" w:type="dxa"/>
            <w:shd w:val="clear" w:color="auto" w:fill="auto"/>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remboursement assurances</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262"/>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directement liés à l'activité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262"/>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non affectables et  à retenir au prorata du CA =  remboursement assurances non affectable  x taux d’affectation (CA volailles-œufs en ZR / CA total)</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dégrèvement impôts</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directement liés à l'activité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non affectables et  à retenir au prorata du CA =  dégrèvement impôts non affectable  x taux d’affectation (CA volailles-œufs en ZR / CA total)</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xml:space="preserve">Autres </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directement liés à l'activité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non affectables et  à retenir au prorata du CA =  autres transferts de charges non affectables   x taux d’affectation (CA volailles-œufs en ZR / CA total)</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IG (2053)</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Produits d'exploitation afférents à des exercices antérieurs</w:t>
            </w:r>
            <w:r w:rsidRPr="00702A1E">
              <w:rPr>
                <w:rFonts w:ascii="Marianne" w:eastAsia="Times New Roman" w:hAnsi="Marianne" w:cs="Arial"/>
                <w:b/>
                <w:bCs/>
                <w:color w:val="000000"/>
                <w:sz w:val="14"/>
                <w:szCs w:val="14"/>
                <w:lang w:eastAsia="fr-FR"/>
              </w:rPr>
              <w:t>(à retrancher)</w:t>
            </w:r>
          </w:p>
        </w:tc>
      </w:tr>
      <w:tr w:rsidR="004B4D4E" w:rsidRPr="00C71FCD" w:rsidTr="00C52492">
        <w:trPr>
          <w:trHeight w:val="287"/>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rPr>
                <w:rFonts w:ascii="Marianne" w:eastAsia="Times New Roman" w:hAnsi="Marianne" w:cs="Arial"/>
                <w:b/>
                <w:bCs/>
                <w:color w:val="000000"/>
                <w:sz w:val="14"/>
                <w:szCs w:val="14"/>
                <w:lang w:eastAsia="fr-FR"/>
              </w:rPr>
            </w:pPr>
            <w:r w:rsidRPr="00702A1E">
              <w:rPr>
                <w:rFonts w:ascii="Marianne" w:eastAsia="Times New Roman" w:hAnsi="Marianne" w:cs="Arial"/>
                <w:b/>
                <w:bCs/>
                <w:color w:val="000000"/>
                <w:sz w:val="14"/>
                <w:szCs w:val="14"/>
                <w:lang w:eastAsia="fr-FR"/>
              </w:rPr>
              <w:t>TOTAL PRODUITS EXPLOITATION (TPEX)</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FS</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607-608-6097</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Achats marchandises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FT</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6037</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Variation stock marchandises activité volailles/œufs en provenance de la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FU</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601 à 606</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Achats mat premières et approvisionnements activité volailles/</w:t>
            </w:r>
            <w:proofErr w:type="spellStart"/>
            <w:r w:rsidRPr="00702A1E">
              <w:rPr>
                <w:rFonts w:ascii="Marianne" w:eastAsia="Times New Roman" w:hAnsi="Marianne" w:cs="Arial"/>
                <w:color w:val="000000"/>
                <w:sz w:val="14"/>
                <w:szCs w:val="14"/>
                <w:lang w:eastAsia="fr-FR"/>
              </w:rPr>
              <w:t>oeufs</w:t>
            </w:r>
            <w:proofErr w:type="spellEnd"/>
            <w:r w:rsidRPr="00702A1E">
              <w:rPr>
                <w:rFonts w:ascii="Marianne" w:eastAsia="Times New Roman" w:hAnsi="Marianne" w:cs="Arial"/>
                <w:color w:val="000000"/>
                <w:sz w:val="14"/>
                <w:szCs w:val="14"/>
                <w:lang w:eastAsia="fr-FR"/>
              </w:rPr>
              <w:t>/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FV</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6031-6032-609</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 xml:space="preserve">Variation stock achats mat premières et </w:t>
            </w:r>
            <w:proofErr w:type="spellStart"/>
            <w:r w:rsidRPr="00702A1E">
              <w:rPr>
                <w:rFonts w:ascii="Marianne" w:eastAsia="Times New Roman" w:hAnsi="Marianne" w:cs="Arial"/>
                <w:color w:val="000000"/>
                <w:sz w:val="14"/>
                <w:szCs w:val="14"/>
                <w:lang w:eastAsia="fr-FR"/>
              </w:rPr>
              <w:t>approv</w:t>
            </w:r>
            <w:proofErr w:type="spellEnd"/>
            <w:r w:rsidRPr="00702A1E">
              <w:rPr>
                <w:rFonts w:ascii="Marianne" w:eastAsia="Times New Roman" w:hAnsi="Marianne" w:cs="Arial"/>
                <w:color w:val="000000"/>
                <w:sz w:val="14"/>
                <w:szCs w:val="14"/>
                <w:lang w:eastAsia="fr-FR"/>
              </w:rPr>
              <w:t xml:space="preserve"> activité volailles/</w:t>
            </w:r>
            <w:proofErr w:type="spellStart"/>
            <w:r w:rsidRPr="00702A1E">
              <w:rPr>
                <w:rFonts w:ascii="Marianne" w:eastAsia="Times New Roman" w:hAnsi="Marianne" w:cs="Arial"/>
                <w:color w:val="000000"/>
                <w:sz w:val="14"/>
                <w:szCs w:val="14"/>
                <w:lang w:eastAsia="fr-FR"/>
              </w:rPr>
              <w:t>oeufs</w:t>
            </w:r>
            <w:proofErr w:type="spellEnd"/>
            <w:r w:rsidRPr="00702A1E">
              <w:rPr>
                <w:rFonts w:ascii="Marianne" w:eastAsia="Times New Roman" w:hAnsi="Marianne" w:cs="Arial"/>
                <w:color w:val="000000"/>
                <w:sz w:val="14"/>
                <w:szCs w:val="14"/>
                <w:lang w:eastAsia="fr-FR"/>
              </w:rPr>
              <w:t xml:space="preserve"> /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FW</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61-62</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Autres achats externes</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directement liés à l'activité volailles/</w:t>
            </w:r>
            <w:proofErr w:type="spellStart"/>
            <w:r w:rsidRPr="00702A1E">
              <w:rPr>
                <w:rFonts w:ascii="Marianne" w:eastAsia="Times New Roman" w:hAnsi="Marianne" w:cs="Arial"/>
                <w:i/>
                <w:iCs/>
                <w:color w:val="000000"/>
                <w:sz w:val="14"/>
                <w:szCs w:val="14"/>
                <w:lang w:eastAsia="fr-FR"/>
              </w:rPr>
              <w:t>oeufs</w:t>
            </w:r>
            <w:proofErr w:type="spellEnd"/>
            <w:r w:rsidRPr="00702A1E">
              <w:rPr>
                <w:rFonts w:ascii="Marianne" w:eastAsia="Times New Roman" w:hAnsi="Marianne" w:cs="Arial"/>
                <w:i/>
                <w:iCs/>
                <w:color w:val="000000"/>
                <w:sz w:val="14"/>
                <w:szCs w:val="14"/>
                <w:lang w:eastAsia="fr-FR"/>
              </w:rPr>
              <w:t xml:space="preserve"> /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non affectables et  à retenir au prorata du CA =  autres achats externes non affectable  x taux d’affectation (CA volailles-œufs en ZR / CA total)</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FX</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63</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Impôts et taxes</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directement liés à l'activité volailles/</w:t>
            </w:r>
            <w:proofErr w:type="spellStart"/>
            <w:r w:rsidRPr="00702A1E">
              <w:rPr>
                <w:rFonts w:ascii="Marianne" w:eastAsia="Times New Roman" w:hAnsi="Marianne" w:cs="Arial"/>
                <w:i/>
                <w:iCs/>
                <w:color w:val="000000"/>
                <w:sz w:val="14"/>
                <w:szCs w:val="14"/>
                <w:lang w:eastAsia="fr-FR"/>
              </w:rPr>
              <w:t>oeufs</w:t>
            </w:r>
            <w:proofErr w:type="spellEnd"/>
            <w:r w:rsidRPr="00702A1E">
              <w:rPr>
                <w:rFonts w:ascii="Marianne" w:eastAsia="Times New Roman" w:hAnsi="Marianne" w:cs="Arial"/>
                <w:i/>
                <w:iCs/>
                <w:color w:val="000000"/>
                <w:sz w:val="14"/>
                <w:szCs w:val="14"/>
                <w:lang w:eastAsia="fr-FR"/>
              </w:rPr>
              <w:t xml:space="preserve"> /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non affectables et  à retenir au prorata du CA =  impôts et taxes non affectables   x taux d’affectation (CA volailles-œufs en ZR / CA total)</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FY+FZ</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64</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 xml:space="preserve">Frais de personnel </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directement liés à l'activité volailles/</w:t>
            </w:r>
            <w:proofErr w:type="spellStart"/>
            <w:r w:rsidRPr="00702A1E">
              <w:rPr>
                <w:rFonts w:ascii="Marianne" w:eastAsia="Times New Roman" w:hAnsi="Marianne" w:cs="Arial"/>
                <w:i/>
                <w:iCs/>
                <w:color w:val="000000"/>
                <w:sz w:val="14"/>
                <w:szCs w:val="14"/>
                <w:lang w:eastAsia="fr-FR"/>
              </w:rPr>
              <w:t>oeufs</w:t>
            </w:r>
            <w:proofErr w:type="spellEnd"/>
            <w:r w:rsidRPr="00702A1E">
              <w:rPr>
                <w:rFonts w:ascii="Marianne" w:eastAsia="Times New Roman" w:hAnsi="Marianne" w:cs="Arial"/>
                <w:i/>
                <w:iCs/>
                <w:color w:val="000000"/>
                <w:sz w:val="14"/>
                <w:szCs w:val="14"/>
                <w:lang w:eastAsia="fr-FR"/>
              </w:rPr>
              <w:t xml:space="preserve"> / ZR</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ind w:left="350"/>
              <w:rPr>
                <w:rFonts w:ascii="Marianne" w:eastAsia="Times New Roman" w:hAnsi="Marianne" w:cs="Arial"/>
                <w:i/>
                <w:iCs/>
                <w:color w:val="000000"/>
                <w:sz w:val="14"/>
                <w:szCs w:val="14"/>
                <w:lang w:eastAsia="fr-FR"/>
              </w:rPr>
            </w:pPr>
            <w:r w:rsidRPr="00702A1E">
              <w:rPr>
                <w:rFonts w:ascii="Marianne" w:eastAsia="Times New Roman" w:hAnsi="Marianne" w:cs="Arial"/>
                <w:i/>
                <w:iCs/>
                <w:color w:val="000000"/>
                <w:sz w:val="14"/>
                <w:szCs w:val="14"/>
                <w:lang w:eastAsia="fr-FR"/>
              </w:rPr>
              <w:t>- non affectables et  à retenir au prorata du CA =  frais de personnel non affectables   x taux d’affectation (CA volailles-œufs en ZR / CA total)</w:t>
            </w:r>
          </w:p>
        </w:tc>
      </w:tr>
      <w:tr w:rsidR="004B4D4E" w:rsidRPr="00C71FCD" w:rsidTr="00C52492">
        <w:trPr>
          <w:trHeight w:val="30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IH (2053)</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bottom"/>
            <w:hideMark/>
          </w:tcPr>
          <w:p w:rsidR="004B4D4E" w:rsidRPr="00702A1E" w:rsidRDefault="004B4D4E" w:rsidP="00C52492">
            <w:pPr>
              <w:rPr>
                <w:rFonts w:ascii="Marianne" w:eastAsia="Times New Roman" w:hAnsi="Marianne" w:cs="Arial"/>
                <w:color w:val="000000"/>
                <w:sz w:val="14"/>
                <w:szCs w:val="14"/>
                <w:lang w:eastAsia="fr-FR"/>
              </w:rPr>
            </w:pPr>
            <w:r w:rsidRPr="00702A1E">
              <w:rPr>
                <w:rFonts w:ascii="Marianne" w:eastAsia="Times New Roman" w:hAnsi="Marianne" w:cs="Arial"/>
                <w:color w:val="000000"/>
                <w:sz w:val="14"/>
                <w:szCs w:val="14"/>
                <w:lang w:eastAsia="fr-FR"/>
              </w:rPr>
              <w:t xml:space="preserve">Charges d'exploitation afférentes à des exercices antérieurs </w:t>
            </w:r>
            <w:r w:rsidRPr="00702A1E">
              <w:rPr>
                <w:rFonts w:ascii="Marianne" w:eastAsia="Times New Roman" w:hAnsi="Marianne" w:cs="Arial"/>
                <w:b/>
                <w:bCs/>
                <w:color w:val="000000"/>
                <w:sz w:val="14"/>
                <w:szCs w:val="14"/>
                <w:lang w:eastAsia="fr-FR"/>
              </w:rPr>
              <w:t>(à retrancher)</w:t>
            </w:r>
          </w:p>
        </w:tc>
      </w:tr>
      <w:tr w:rsidR="004B4D4E" w:rsidRPr="00C71FCD" w:rsidTr="00C52492">
        <w:trPr>
          <w:trHeight w:val="525"/>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xml:space="preserve">Coûts supportés qui ne sont pas directement imputables à la maladie animale qui auraient autrement été supportés par le bénéficiaire </w:t>
            </w:r>
            <w:r w:rsidRPr="00C71FCD">
              <w:rPr>
                <w:rFonts w:ascii="Marianne" w:eastAsia="Times New Roman" w:hAnsi="Marianne" w:cs="Arial"/>
                <w:b/>
                <w:bCs/>
                <w:color w:val="000000"/>
                <w:sz w:val="14"/>
                <w:szCs w:val="14"/>
                <w:lang w:eastAsia="fr-FR"/>
              </w:rPr>
              <w:t>(à retrancher)</w:t>
            </w:r>
          </w:p>
        </w:tc>
      </w:tr>
      <w:tr w:rsidR="004B4D4E" w:rsidRPr="00C71FCD" w:rsidTr="00C52492">
        <w:trPr>
          <w:trHeight w:val="360"/>
        </w:trPr>
        <w:tc>
          <w:tcPr>
            <w:tcW w:w="1129"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1418" w:type="dxa"/>
            <w:shd w:val="clear" w:color="auto" w:fill="auto"/>
            <w:noWrap/>
            <w:vAlign w:val="bottom"/>
            <w:hideMark/>
          </w:tcPr>
          <w:p w:rsidR="004B4D4E" w:rsidRPr="00C71FCD" w:rsidRDefault="004B4D4E" w:rsidP="00C52492">
            <w:pPr>
              <w:rPr>
                <w:rFonts w:ascii="Marianne" w:eastAsia="Times New Roman" w:hAnsi="Marianne" w:cs="Arial"/>
                <w:color w:val="000000"/>
                <w:sz w:val="14"/>
                <w:szCs w:val="14"/>
                <w:lang w:eastAsia="fr-FR"/>
              </w:rPr>
            </w:pPr>
            <w:r w:rsidRPr="00C71FCD">
              <w:rPr>
                <w:rFonts w:ascii="Marianne" w:eastAsia="Times New Roman" w:hAnsi="Marianne" w:cs="Arial"/>
                <w:color w:val="000000"/>
                <w:sz w:val="14"/>
                <w:szCs w:val="14"/>
                <w:lang w:eastAsia="fr-FR"/>
              </w:rPr>
              <w:t> </w:t>
            </w:r>
          </w:p>
        </w:tc>
        <w:tc>
          <w:tcPr>
            <w:tcW w:w="7654" w:type="dxa"/>
            <w:shd w:val="clear" w:color="auto" w:fill="auto"/>
            <w:noWrap/>
            <w:vAlign w:val="center"/>
            <w:hideMark/>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TOTAL CHARGES EXPLOITATION (TCEX)</w:t>
            </w:r>
          </w:p>
        </w:tc>
      </w:tr>
      <w:tr w:rsidR="004B4D4E" w:rsidRPr="00C71FCD" w:rsidTr="00C52492">
        <w:trPr>
          <w:trHeight w:val="300"/>
        </w:trPr>
        <w:tc>
          <w:tcPr>
            <w:tcW w:w="10201" w:type="dxa"/>
            <w:gridSpan w:val="3"/>
            <w:shd w:val="clear" w:color="auto" w:fill="auto"/>
            <w:noWrap/>
            <w:vAlign w:val="center"/>
            <w:hideMark/>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 xml:space="preserve">EBE ACTIVITÉ VOLAILLES EN PROVENANCE DE LA ZR (=TPEX-TCEX) </w:t>
            </w:r>
          </w:p>
        </w:tc>
      </w:tr>
      <w:tr w:rsidR="004B4D4E" w:rsidRPr="00C71FCD" w:rsidTr="00C52492">
        <w:trPr>
          <w:trHeight w:val="300"/>
        </w:trPr>
        <w:tc>
          <w:tcPr>
            <w:tcW w:w="10201" w:type="dxa"/>
            <w:gridSpan w:val="3"/>
            <w:shd w:val="clear" w:color="auto" w:fill="auto"/>
            <w:noWrap/>
            <w:vAlign w:val="center"/>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EBE ACTIVITÉ VOLAILLES</w:t>
            </w:r>
          </w:p>
        </w:tc>
      </w:tr>
      <w:tr w:rsidR="004B4D4E" w:rsidRPr="00C71FCD" w:rsidTr="00C52492">
        <w:trPr>
          <w:trHeight w:val="300"/>
        </w:trPr>
        <w:tc>
          <w:tcPr>
            <w:tcW w:w="10201" w:type="dxa"/>
            <w:gridSpan w:val="3"/>
            <w:shd w:val="clear" w:color="auto" w:fill="auto"/>
            <w:noWrap/>
            <w:vAlign w:val="center"/>
            <w:hideMark/>
          </w:tcPr>
          <w:p w:rsidR="004B4D4E" w:rsidRPr="00C71FCD" w:rsidRDefault="004B4D4E" w:rsidP="00C52492">
            <w:pPr>
              <w:rPr>
                <w:rFonts w:ascii="Marianne" w:eastAsia="Times New Roman" w:hAnsi="Marianne" w:cs="Arial"/>
                <w:b/>
                <w:bCs/>
                <w:color w:val="000000"/>
                <w:sz w:val="14"/>
                <w:szCs w:val="14"/>
                <w:lang w:eastAsia="fr-FR"/>
              </w:rPr>
            </w:pPr>
            <w:r w:rsidRPr="00C71FCD">
              <w:rPr>
                <w:rFonts w:ascii="Marianne" w:eastAsia="Times New Roman" w:hAnsi="Marianne" w:cs="Arial"/>
                <w:b/>
                <w:bCs/>
                <w:color w:val="000000"/>
                <w:sz w:val="14"/>
                <w:szCs w:val="14"/>
                <w:lang w:eastAsia="fr-FR"/>
              </w:rPr>
              <w:t>EBE GLOBAL DE L'ENTREPRISE</w:t>
            </w:r>
          </w:p>
        </w:tc>
      </w:tr>
    </w:tbl>
    <w:p w:rsidR="004B4D4E" w:rsidRDefault="004B4D4E" w:rsidP="004B4D4E">
      <w:pPr>
        <w:jc w:val="both"/>
        <w:rPr>
          <w:rStyle w:val="Aucun"/>
          <w:rFonts w:ascii="Marianne" w:hAnsi="Marianne"/>
          <w:b/>
          <w:sz w:val="22"/>
          <w:szCs w:val="20"/>
          <w:lang w:eastAsia="fr-FR"/>
        </w:rPr>
      </w:pPr>
    </w:p>
    <w:p w:rsidR="004B4D4E" w:rsidRPr="00702A1E" w:rsidRDefault="004B4D4E" w:rsidP="004B4D4E">
      <w:pPr>
        <w:autoSpaceDE w:val="0"/>
        <w:spacing w:line="276" w:lineRule="auto"/>
        <w:jc w:val="both"/>
        <w:rPr>
          <w:rFonts w:ascii="Marianne" w:hAnsi="Marianne"/>
          <w:sz w:val="18"/>
          <w:szCs w:val="18"/>
        </w:rPr>
      </w:pPr>
    </w:p>
    <w:p w:rsidR="004B4D4E" w:rsidRPr="00702A1E" w:rsidRDefault="004B4D4E" w:rsidP="004B4D4E">
      <w:pPr>
        <w:autoSpaceDE w:val="0"/>
        <w:spacing w:line="276" w:lineRule="auto"/>
        <w:jc w:val="both"/>
        <w:rPr>
          <w:rFonts w:ascii="Marianne" w:hAnsi="Marianne"/>
          <w:sz w:val="18"/>
          <w:szCs w:val="18"/>
        </w:rPr>
      </w:pPr>
      <w:r>
        <w:rPr>
          <w:rFonts w:ascii="Marianne" w:hAnsi="Marianne"/>
          <w:sz w:val="18"/>
          <w:szCs w:val="18"/>
        </w:rPr>
        <w:t>NB</w:t>
      </w:r>
      <w:r w:rsidRPr="00702A1E">
        <w:rPr>
          <w:rFonts w:ascii="Marianne" w:hAnsi="Marianne"/>
          <w:sz w:val="18"/>
          <w:szCs w:val="18"/>
        </w:rPr>
        <w:t xml:space="preserve"> : Pour les charges et produits non directement affectables à l’activité volaille/œufs en ZR, le taux d’affectation permet de calculer les charges et produits indirects correspondants à l’activité volaille/œufs en ZR. Il correspond au pourcentage de chiffre d’affaires de l’activité issu de l’activité volaille/œufs en ZR. </w:t>
      </w:r>
    </w:p>
    <w:p w:rsidR="004B4D4E" w:rsidRPr="00702A1E" w:rsidRDefault="004B4D4E" w:rsidP="004B4D4E">
      <w:pPr>
        <w:autoSpaceDE w:val="0"/>
        <w:spacing w:line="276" w:lineRule="auto"/>
        <w:jc w:val="both"/>
      </w:pPr>
    </w:p>
    <w:p w:rsidR="004B4D4E" w:rsidRDefault="004B4D4E" w:rsidP="004B4D4E">
      <w:pPr>
        <w:autoSpaceDE w:val="0"/>
        <w:spacing w:line="276" w:lineRule="auto"/>
        <w:jc w:val="both"/>
        <w:rPr>
          <w:rFonts w:ascii="Marianne" w:hAnsi="Marianne"/>
          <w:color w:val="000000"/>
          <w:sz w:val="18"/>
          <w:szCs w:val="18"/>
        </w:rPr>
      </w:pPr>
      <w:r>
        <w:rPr>
          <w:rFonts w:ascii="Marianne" w:hAnsi="Marianne"/>
          <w:color w:val="000000"/>
          <w:sz w:val="18"/>
          <w:szCs w:val="18"/>
        </w:rPr>
        <w:t>Dans le cas général le calcul de l’EBE est à réaliser sur le dernier exercice comptable clos en 2021.</w:t>
      </w:r>
    </w:p>
    <w:p w:rsidR="004B4D4E" w:rsidRPr="004B4D4E" w:rsidRDefault="004B4D4E" w:rsidP="004B4D4E">
      <w:pPr>
        <w:autoSpaceDE w:val="0"/>
        <w:spacing w:line="276" w:lineRule="auto"/>
        <w:jc w:val="both"/>
        <w:rPr>
          <w:rFonts w:ascii="Marianne" w:hAnsi="Marianne"/>
          <w:color w:val="000000"/>
          <w:sz w:val="18"/>
          <w:szCs w:val="18"/>
          <w:u w:val="single"/>
        </w:rPr>
      </w:pPr>
    </w:p>
    <w:p w:rsidR="004B4D4E" w:rsidRPr="004B4D4E" w:rsidRDefault="004B4D4E" w:rsidP="004B4D4E">
      <w:pPr>
        <w:autoSpaceDE w:val="0"/>
        <w:spacing w:line="276" w:lineRule="auto"/>
        <w:jc w:val="both"/>
        <w:rPr>
          <w:rFonts w:ascii="Marianne" w:hAnsi="Marianne"/>
          <w:color w:val="000000"/>
          <w:sz w:val="18"/>
          <w:szCs w:val="18"/>
        </w:rPr>
      </w:pPr>
      <w:r w:rsidRPr="004B4D4E">
        <w:rPr>
          <w:rFonts w:ascii="Marianne" w:hAnsi="Marianne"/>
          <w:color w:val="000000"/>
          <w:sz w:val="18"/>
          <w:szCs w:val="18"/>
          <w:u w:val="single"/>
        </w:rPr>
        <w:t xml:space="preserve">Cas particulier où l’année 2021 n’est pas représentative de l’activité de l’entreprise </w:t>
      </w:r>
      <w:r w:rsidRPr="004B4D4E">
        <w:rPr>
          <w:rFonts w:ascii="Marianne" w:hAnsi="Marianne"/>
          <w:color w:val="000000"/>
          <w:sz w:val="18"/>
          <w:szCs w:val="18"/>
        </w:rPr>
        <w:t>: sous réserve de l’accord du service instructeur, un exercice clos antérieur à celui de 2021 mais postérieur ou égal à 2018 peut être utilisé pour le calcul du taux de spécialisation. Le demandeur devra dûment justifier le choix de l’exercice utilisé en expliquant sa représentativité ainsi que la non représentativité de l’année 2021 (par un évènement exceptionnel ayant perturbé l’activité).</w:t>
      </w:r>
    </w:p>
    <w:p w:rsidR="004B4D4E" w:rsidRPr="004B4D4E" w:rsidRDefault="004B4D4E" w:rsidP="004B4D4E">
      <w:pPr>
        <w:pStyle w:val="Normal1"/>
        <w:rPr>
          <w:sz w:val="18"/>
          <w:szCs w:val="18"/>
        </w:rPr>
      </w:pPr>
      <w:r w:rsidRPr="004B4D4E">
        <w:rPr>
          <w:sz w:val="18"/>
          <w:szCs w:val="18"/>
          <w:u w:val="single"/>
        </w:rPr>
        <w:t>Pour les entreprises ayant démarré leur activité avant la crise mais ne disposant pas d’exercice clos de 12 mois en 2021</w:t>
      </w:r>
      <w:r w:rsidRPr="004B4D4E">
        <w:rPr>
          <w:sz w:val="18"/>
          <w:szCs w:val="18"/>
        </w:rPr>
        <w:t xml:space="preserve">, il est admis que la période soit constituée des 12 mois suivant la date de création indiquée sur le formulaire </w:t>
      </w:r>
      <w:proofErr w:type="spellStart"/>
      <w:r w:rsidRPr="004B4D4E">
        <w:rPr>
          <w:sz w:val="18"/>
          <w:szCs w:val="18"/>
        </w:rPr>
        <w:t>Kbis</w:t>
      </w:r>
      <w:proofErr w:type="spellEnd"/>
      <w:r w:rsidRPr="004B4D4E">
        <w:rPr>
          <w:sz w:val="18"/>
          <w:szCs w:val="18"/>
        </w:rPr>
        <w:t>.</w:t>
      </w:r>
    </w:p>
    <w:p w:rsidR="009B4BAF" w:rsidRPr="004E1724" w:rsidRDefault="009B4BAF" w:rsidP="004E1724">
      <w:pPr>
        <w:autoSpaceDE w:val="0"/>
        <w:spacing w:line="276" w:lineRule="auto"/>
        <w:jc w:val="both"/>
        <w:rPr>
          <w:rFonts w:ascii="Marianne" w:hAnsi="Marianne"/>
          <w:color w:val="000000"/>
          <w:sz w:val="18"/>
          <w:szCs w:val="18"/>
        </w:rPr>
      </w:pPr>
    </w:p>
    <w:sectPr w:rsidR="009B4BAF" w:rsidRPr="004E1724" w:rsidSect="004B4D4E">
      <w:pgSz w:w="11906" w:h="16838"/>
      <w:pgMar w:top="709" w:right="707"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D4E"/>
    <w:rsid w:val="00176369"/>
    <w:rsid w:val="004B4D4E"/>
    <w:rsid w:val="004E1724"/>
    <w:rsid w:val="00515A38"/>
    <w:rsid w:val="007C1807"/>
    <w:rsid w:val="009B4B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C4A2"/>
  <w15:chartTrackingRefBased/>
  <w15:docId w15:val="{5B0B9CC7-79AC-46B4-BEEA-AFD975B5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B4D4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qFormat/>
    <w:rsid w:val="004B4D4E"/>
    <w:rPr>
      <w:lang w:val="fr-FR"/>
    </w:rPr>
  </w:style>
  <w:style w:type="paragraph" w:customStyle="1" w:styleId="Normal1">
    <w:name w:val="Normal1"/>
    <w:basedOn w:val="Normal"/>
    <w:link w:val="normalCar"/>
    <w:qFormat/>
    <w:rsid w:val="004B4D4E"/>
    <w:pPr>
      <w:spacing w:before="120" w:after="120"/>
      <w:jc w:val="both"/>
    </w:pPr>
    <w:rPr>
      <w:rFonts w:ascii="Marianne" w:hAnsi="Marianne"/>
      <w:sz w:val="20"/>
      <w:szCs w:val="20"/>
      <w:lang w:eastAsia="fr-FR"/>
    </w:rPr>
  </w:style>
  <w:style w:type="character" w:customStyle="1" w:styleId="normalCar">
    <w:name w:val="normal Car"/>
    <w:basedOn w:val="Policepardfaut"/>
    <w:link w:val="Normal1"/>
    <w:qFormat/>
    <w:rsid w:val="004B4D4E"/>
    <w:rPr>
      <w:rFonts w:ascii="Marianne" w:eastAsia="Arial Unicode MS" w:hAnsi="Marianne" w:cs="Times New Roman"/>
      <w:sz w:val="20"/>
      <w:szCs w:val="20"/>
      <w:bdr w:val="ni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671</Words>
  <Characters>3692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BACHER</dc:creator>
  <cp:keywords/>
  <dc:description/>
  <cp:lastModifiedBy>Emilie CAVAILLES</cp:lastModifiedBy>
  <cp:revision>3</cp:revision>
  <dcterms:created xsi:type="dcterms:W3CDTF">2023-10-04T12:35:00Z</dcterms:created>
  <dcterms:modified xsi:type="dcterms:W3CDTF">2023-10-04T13:48:00Z</dcterms:modified>
</cp:coreProperties>
</file>