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AE" w:rsidRDefault="003F5BA0">
      <w:pPr>
        <w:pStyle w:val="AnnexeNo"/>
        <w:spacing w:after="480"/>
        <w:rPr>
          <w:sz w:val="20"/>
        </w:rPr>
      </w:pPr>
      <w:r>
        <w:t>Déclaration de jaunisse 2023</w:t>
      </w:r>
    </w:p>
    <w:p w:rsidR="00155BAE" w:rsidRDefault="003F5BA0">
      <w:pPr>
        <w:pStyle w:val="standard"/>
      </w:pPr>
      <w:r>
        <w:rPr>
          <w:b/>
          <w:bCs/>
          <w:sz w:val="24"/>
          <w:szCs w:val="24"/>
        </w:rPr>
        <w:t xml:space="preserve">La présente déclaration doit être déposée dans tous les cas, y compris l’assolement en commun. </w:t>
      </w:r>
      <w:r>
        <w:t>Elle doit être complétée, signée par la sucrerie et déposée par l’agriculteur demandant l’aide « jaunisse pour 2023 » sur le site de FranceAgriMer au format PDF. Il appartient au demandeur de collecter les informations nécessaires au présent document auprès de la ou des sucreries auxquelles il a apporté ses betteraves en 2023.</w:t>
      </w:r>
    </w:p>
    <w:p w:rsidR="00155BAE" w:rsidRDefault="003F5BA0">
      <w:pPr>
        <w:pStyle w:val="Titre1-RapportAnnexe"/>
        <w:spacing w:before="240"/>
        <w:ind w:left="431" w:hanging="431"/>
      </w:pPr>
      <w:r>
        <w:t>Identification du demandeur de l’aide</w:t>
      </w:r>
    </w:p>
    <w:p w:rsidR="00155BAE" w:rsidRDefault="003F5BA0">
      <w:pPr>
        <w:pStyle w:val="standard"/>
      </w:pPr>
      <w:r>
        <w:t>N° SIRET :</w:t>
      </w:r>
      <w:r>
        <w:tab/>
      </w:r>
      <w:r>
        <w:tab/>
      </w:r>
      <w:r>
        <w:tab/>
      </w:r>
      <w:r>
        <w:tab/>
      </w:r>
      <w:r>
        <w:tab/>
      </w:r>
      <w:r>
        <w:tab/>
        <w:t>N° PACAGE :</w:t>
      </w:r>
    </w:p>
    <w:p w:rsidR="00155BAE" w:rsidRDefault="003F5BA0">
      <w:pPr>
        <w:pStyle w:val="standard"/>
      </w:pPr>
      <w:r>
        <w:t>Raison sociale :</w:t>
      </w:r>
    </w:p>
    <w:p w:rsidR="00155BAE" w:rsidRDefault="003F5BA0">
      <w:pPr>
        <w:pStyle w:val="Titre1-RapportAnnexe"/>
        <w:spacing w:before="240"/>
        <w:ind w:left="431" w:hanging="431"/>
      </w:pPr>
      <w:r>
        <w:t>Tonnages apportés</w:t>
      </w:r>
    </w:p>
    <w:p w:rsidR="00155BAE" w:rsidRDefault="003F5BA0">
      <w:pPr>
        <w:pStyle w:val="standard"/>
        <w:rPr>
          <w:b/>
          <w:bCs/>
        </w:rPr>
      </w:pPr>
      <w:r>
        <w:rPr>
          <w:b/>
          <w:bCs/>
        </w:rPr>
        <w:t>Les données de surface sont celles de la PAC et seront directement saisies par le demandeur dans le téléservice.</w:t>
      </w:r>
    </w:p>
    <w:p w:rsidR="00155BAE" w:rsidRDefault="003F5BA0">
      <w:pPr>
        <w:pStyle w:val="standard"/>
      </w:pPr>
      <w:r>
        <w:t>Cas des données individuelles de tonnage manquantes :</w:t>
      </w:r>
    </w:p>
    <w:p w:rsidR="00155BAE" w:rsidRDefault="003F5BA0">
      <w:pPr>
        <w:pStyle w:val="Puces1-RapportAnnexes"/>
      </w:pPr>
      <w:r>
        <w:t>L’historique 2017-2019 peut être reconstitué, avec sa (ses) sucrerie(s), à partir de données d’autres entreprises pour un certain nombre de cas définis (voir liste des cas en annexe 1 partie 2 de la décision). Dans ce cas, les surfaces issues d’une reconstitution d’historique doivent impérativement être les mêmes que celles des entreprises ayant servi pour les tonnages.</w:t>
      </w:r>
    </w:p>
    <w:p w:rsidR="00155BAE" w:rsidRDefault="003F5BA0">
      <w:pPr>
        <w:pStyle w:val="Puces1-RapportAnnexes"/>
      </w:pPr>
      <w:r>
        <w:t>Hors de ces cas, les données manquantes sont remplacées par les tonnages et les surfaces départementaux moyens de la ou des années considérées (voir annexe 1 partie 1 de la décision FranceAgriMer).</w:t>
      </w:r>
    </w:p>
    <w:p w:rsidR="00155BAE" w:rsidRDefault="003F5BA0">
      <w:pPr>
        <w:pStyle w:val="Puces1-RapportAnnexes"/>
      </w:pPr>
      <w:r>
        <w:t>Ces deux options ne sont pas cumulables.</w:t>
      </w:r>
    </w:p>
    <w:p w:rsidR="00155BAE" w:rsidRDefault="003F5BA0">
      <w:pPr>
        <w:pStyle w:val="standard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Les deux premières colonnes du tableau </w:t>
      </w:r>
      <w:r>
        <w:rPr>
          <w:b/>
          <w:bCs/>
          <w:color w:val="FF0000"/>
          <w:sz w:val="24"/>
          <w:szCs w:val="24"/>
          <w:u w:val="single"/>
        </w:rPr>
        <w:t>infra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ne sont à renseigner que s’il y a reconstitution historique pour ces années</w:t>
      </w:r>
      <w:r>
        <w:rPr>
          <w:b/>
          <w:bCs/>
          <w:i/>
          <w:iCs/>
          <w:color w:val="FF0000"/>
          <w:sz w:val="24"/>
          <w:szCs w:val="24"/>
        </w:rPr>
        <w:t>.</w:t>
      </w:r>
    </w:p>
    <w:p w:rsidR="00155BAE" w:rsidRDefault="003F5BA0">
      <w:pPr>
        <w:pStyle w:val="standard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Par ailleurs, en cas </w:t>
      </w:r>
      <w:r>
        <w:rPr>
          <w:b/>
          <w:bCs/>
          <w:color w:val="FF0000"/>
          <w:sz w:val="24"/>
          <w:szCs w:val="24"/>
          <w:u w:val="single"/>
        </w:rPr>
        <w:t>d’assolement en commun</w:t>
      </w:r>
      <w:r>
        <w:rPr>
          <w:b/>
          <w:bCs/>
          <w:color w:val="FF0000"/>
          <w:sz w:val="24"/>
          <w:szCs w:val="24"/>
        </w:rPr>
        <w:t>, l’annexe 4 se substitue au tableau ci-dessous. Dans tous les autres cas, le tableau ci-dessous doit être renseigné.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7"/>
        <w:gridCol w:w="2580"/>
        <w:gridCol w:w="2224"/>
        <w:gridCol w:w="1402"/>
        <w:gridCol w:w="1120"/>
        <w:gridCol w:w="1499"/>
      </w:tblGrid>
      <w:tr w:rsidR="00155BAE">
        <w:trPr>
          <w:cantSplit/>
          <w:trHeight w:val="1531"/>
          <w:tblHeader/>
          <w:jc w:val="center"/>
        </w:trPr>
        <w:tc>
          <w:tcPr>
            <w:tcW w:w="461" w:type="pct"/>
            <w:vMerge w:val="restart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lastRenderedPageBreak/>
              <w:t>Année</w:t>
            </w:r>
          </w:p>
        </w:tc>
        <w:tc>
          <w:tcPr>
            <w:tcW w:w="2471" w:type="pct"/>
            <w:gridSpan w:val="2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Ces deux colonnes ne sont à compléter qu’en cas de reconstitution d’historique (cas limitativement énumérés à l’annexe 1 - partie 2 de la décision)</w:t>
            </w:r>
          </w:p>
        </w:tc>
        <w:tc>
          <w:tcPr>
            <w:tcW w:w="721" w:type="pct"/>
            <w:vMerge w:val="restart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Sucrerie de</w:t>
            </w:r>
          </w:p>
        </w:tc>
        <w:tc>
          <w:tcPr>
            <w:tcW w:w="576" w:type="pct"/>
            <w:vMerge w:val="restart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Groupe</w:t>
            </w:r>
          </w:p>
        </w:tc>
        <w:tc>
          <w:tcPr>
            <w:tcW w:w="771" w:type="pct"/>
            <w:vMerge w:val="restart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Tonnage(s) apporté(s)</w:t>
            </w:r>
          </w:p>
          <w:p w:rsidR="00155BAE" w:rsidRDefault="003F5BA0">
            <w:pPr>
              <w:keepNext/>
              <w:keepLines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(Tonnes à 16°)</w:t>
            </w:r>
            <w:r>
              <w:rPr>
                <w:b/>
                <w:color w:val="008000"/>
                <w:sz w:val="20"/>
                <w:szCs w:val="20"/>
              </w:rPr>
              <w:br/>
            </w:r>
            <w:r>
              <w:rPr>
                <w:b/>
                <w:bCs/>
                <w:color w:val="008000"/>
                <w:sz w:val="20"/>
                <w:szCs w:val="20"/>
              </w:rPr>
              <w:t>Donnée Sucrerie(s)</w:t>
            </w:r>
          </w:p>
        </w:tc>
      </w:tr>
      <w:tr w:rsidR="00155BAE">
        <w:trPr>
          <w:cantSplit/>
          <w:trHeight w:val="1531"/>
          <w:tblHeader/>
          <w:jc w:val="center"/>
        </w:trPr>
        <w:tc>
          <w:tcPr>
            <w:tcW w:w="461" w:type="pct"/>
            <w:vMerge/>
            <w:shd w:val="clear" w:color="auto" w:fill="E0E0E0"/>
            <w:vAlign w:val="center"/>
          </w:tcPr>
          <w:p w:rsidR="00155BAE" w:rsidRDefault="00155BAE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SIRET ayant servi à la reconstitution (obligatoire)</w:t>
            </w:r>
          </w:p>
          <w:p w:rsidR="00155BAE" w:rsidRDefault="003F5BA0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Sinon ne pas remplir</w:t>
            </w:r>
          </w:p>
        </w:tc>
        <w:tc>
          <w:tcPr>
            <w:tcW w:w="1144" w:type="pct"/>
            <w:shd w:val="clear" w:color="auto" w:fill="E0E0E0"/>
            <w:vAlign w:val="center"/>
          </w:tcPr>
          <w:p w:rsidR="00155BAE" w:rsidRDefault="003F5BA0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Raison sociale de l’exploitation titulaire du SIRET, le cas échéant</w:t>
            </w:r>
          </w:p>
        </w:tc>
        <w:tc>
          <w:tcPr>
            <w:tcW w:w="721" w:type="pct"/>
            <w:vMerge/>
            <w:shd w:val="clear" w:color="auto" w:fill="E0E0E0"/>
            <w:vAlign w:val="center"/>
          </w:tcPr>
          <w:p w:rsidR="00155BAE" w:rsidRDefault="00155BAE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E0E0E0"/>
            <w:vAlign w:val="center"/>
          </w:tcPr>
          <w:p w:rsidR="00155BAE" w:rsidRDefault="00155BAE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E0E0E0"/>
            <w:vAlign w:val="center"/>
          </w:tcPr>
          <w:p w:rsidR="00155BAE" w:rsidRDefault="00155BAE">
            <w:pPr>
              <w:keepNext/>
              <w:keepLines/>
              <w:suppressAutoHyphens w:val="0"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 w:val="restart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27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000000" w:themeFill="text1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000000" w:themeFill="text1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2017</w:t>
            </w: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 w:val="restart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7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000000" w:themeFill="text1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000000" w:themeFill="text1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2018</w:t>
            </w: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59"/>
          <w:tblHeader/>
          <w:jc w:val="center"/>
        </w:trPr>
        <w:tc>
          <w:tcPr>
            <w:tcW w:w="461" w:type="pct"/>
            <w:vMerge w:val="restart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27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8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000000" w:themeFill="text1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000000" w:themeFill="text1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2019</w:t>
            </w: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 w:val="restart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7" w:type="pct"/>
            <w:shd w:val="clear" w:color="auto" w:fill="0D0D0D" w:themeFill="text1" w:themeFillTint="F2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0D0D0D" w:themeFill="text1" w:themeFillTint="F2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0D0D0D" w:themeFill="text1" w:themeFillTint="F2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0D0D0D" w:themeFill="text1" w:themeFillTint="F2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5BAE">
        <w:trPr>
          <w:cantSplit/>
          <w:trHeight w:val="170"/>
          <w:tblHeader/>
          <w:jc w:val="center"/>
        </w:trPr>
        <w:tc>
          <w:tcPr>
            <w:tcW w:w="461" w:type="pct"/>
            <w:vMerge/>
            <w:shd w:val="solid" w:color="FFFFFF" w:fill="FFFFFF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shd w:val="clear" w:color="auto" w:fill="0D0D0D" w:themeFill="text1" w:themeFillTint="F2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0D0D0D" w:themeFill="text1" w:themeFillTint="F2"/>
            <w:vAlign w:val="center"/>
          </w:tcPr>
          <w:p w:rsidR="00155BAE" w:rsidRDefault="00155BA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2"/>
            <w:shd w:val="solid" w:color="FFFFFF" w:fill="FFFFFF"/>
            <w:vAlign w:val="center"/>
          </w:tcPr>
          <w:p w:rsidR="00155BAE" w:rsidRDefault="003F5B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2023</w:t>
            </w:r>
          </w:p>
        </w:tc>
        <w:tc>
          <w:tcPr>
            <w:tcW w:w="771" w:type="pct"/>
            <w:shd w:val="solid" w:color="FFFFFF" w:fill="FFFFFF"/>
            <w:vAlign w:val="center"/>
          </w:tcPr>
          <w:p w:rsidR="00155BAE" w:rsidRDefault="00155BAE">
            <w:pPr>
              <w:suppressAutoHyphens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55BAE" w:rsidRDefault="003F5BA0">
      <w:pPr>
        <w:spacing w:before="120"/>
      </w:pPr>
      <w:r>
        <w:t>Indiquer de quel cas de reconstitution le producteur relève :</w:t>
      </w:r>
    </w:p>
    <w:p w:rsidR="00155BAE" w:rsidRDefault="002F0E6C">
      <w:r>
        <w:rPr>
          <w:noProof/>
        </w:rPr>
        <w:drawing>
          <wp:inline distT="0" distB="0" distL="0" distR="0" wp14:anchorId="79A00158" wp14:editId="5E0D44F2">
            <wp:extent cx="5760720" cy="8623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6C" w:rsidRDefault="002F0E6C"/>
    <w:p w:rsidR="00155BAE" w:rsidRDefault="003F5BA0">
      <w:r>
        <w:t>Précision si nécessaire :</w:t>
      </w:r>
    </w:p>
    <w:p w:rsidR="00155BAE" w:rsidRDefault="00155BAE"/>
    <w:p w:rsidR="00155BAE" w:rsidRDefault="00155BAE"/>
    <w:p w:rsidR="00155BAE" w:rsidRDefault="00155BAE"/>
    <w:p w:rsidR="00155BAE" w:rsidRDefault="00155BAE"/>
    <w:p w:rsidR="00155BAE" w:rsidRDefault="003F5BA0">
      <w:pPr>
        <w:pStyle w:val="Titre1-RapportAnnexe"/>
      </w:pPr>
      <w:r>
        <w:t>Contreseing(s) de la (des) sucrerie(s)</w:t>
      </w:r>
    </w:p>
    <w:p w:rsidR="00155BAE" w:rsidRDefault="003F5BA0">
      <w:pPr>
        <w:pStyle w:val="standard"/>
      </w:pPr>
      <w:r>
        <w:t>Je soussigné, [Prénom, Nom], représentant la sucrerie de [nom de la sucrerie] atteste :</w:t>
      </w:r>
    </w:p>
    <w:p w:rsidR="00155BAE" w:rsidRDefault="003F5BA0">
      <w:pPr>
        <w:pStyle w:val="standard"/>
        <w:numPr>
          <w:ilvl w:val="0"/>
          <w:numId w:val="50"/>
        </w:numPr>
      </w:pPr>
      <w:r>
        <w:t xml:space="preserve"> que l’exploitation susvisée a été affectée significativement par la jaunisse en 2023 bien que la culture ait été conduite conformément aux bonnes pratiques, notamment en matière de traitements aphicides ;</w:t>
      </w:r>
    </w:p>
    <w:p w:rsidR="00155BAE" w:rsidRDefault="003F5BA0">
      <w:pPr>
        <w:pStyle w:val="standard"/>
        <w:numPr>
          <w:ilvl w:val="0"/>
          <w:numId w:val="50"/>
        </w:numPr>
      </w:pPr>
      <w:r>
        <w:t>des tonnages renseignés ci-dessus ou sur l’annexe 4 en cas d’assolement en commun.</w:t>
      </w:r>
    </w:p>
    <w:p w:rsidR="00155BAE" w:rsidRDefault="003F5BA0">
      <w:pPr>
        <w:pStyle w:val="standard"/>
      </w:pPr>
      <w:r>
        <w:t>Date, signature et cachet de la sucrerie :</w:t>
      </w:r>
    </w:p>
    <w:p w:rsidR="002F0E6C" w:rsidRDefault="002F0E6C">
      <w:pPr>
        <w:pStyle w:val="standard"/>
      </w:pPr>
    </w:p>
    <w:p w:rsidR="00155BAE" w:rsidRDefault="00155BAE">
      <w:pPr>
        <w:pStyle w:val="standard"/>
      </w:pPr>
    </w:p>
    <w:p w:rsidR="00155BAE" w:rsidRDefault="00155BAE">
      <w:pPr>
        <w:pStyle w:val="standard"/>
      </w:pPr>
      <w:bookmarkStart w:id="0" w:name="_GoBack"/>
      <w:bookmarkEnd w:id="0"/>
    </w:p>
    <w:p w:rsidR="00155BAE" w:rsidRDefault="003F5B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rPr>
          <w:color w:val="FF0000"/>
        </w:rPr>
        <w:lastRenderedPageBreak/>
        <w:t>Si le demandeur déclare plusieurs sucreries (planteur « mixte »), cette déclaration doit être signée par chaque sucrerie sur le même document ou sur deux documents distincts.</w:t>
      </w:r>
    </w:p>
    <w:sectPr w:rsidR="00155BAE" w:rsidSect="002F0E6C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AE" w:rsidRDefault="003F5BA0">
      <w:r>
        <w:separator/>
      </w:r>
    </w:p>
  </w:endnote>
  <w:endnote w:type="continuationSeparator" w:id="0">
    <w:p w:rsidR="00155BAE" w:rsidRDefault="003F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AE" w:rsidRDefault="003F5BA0">
      <w:r>
        <w:separator/>
      </w:r>
    </w:p>
  </w:footnote>
  <w:footnote w:type="continuationSeparator" w:id="0">
    <w:p w:rsidR="00155BAE" w:rsidRDefault="003F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2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8A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CC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962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727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6D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45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A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8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0A16E2"/>
    <w:multiLevelType w:val="hybridMultilevel"/>
    <w:tmpl w:val="9620BB5A"/>
    <w:lvl w:ilvl="0" w:tplc="F812811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D57D0"/>
    <w:multiLevelType w:val="hybridMultilevel"/>
    <w:tmpl w:val="818C5392"/>
    <w:lvl w:ilvl="0" w:tplc="C9684B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11621"/>
    <w:multiLevelType w:val="multilevel"/>
    <w:tmpl w:val="550C0C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2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2" w15:restartNumberingAfterBreak="0">
    <w:nsid w:val="0A935EBE"/>
    <w:multiLevelType w:val="multilevel"/>
    <w:tmpl w:val="CA38563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3" w15:restartNumberingAfterBreak="0">
    <w:nsid w:val="0EAE49E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497FAA"/>
    <w:multiLevelType w:val="multilevel"/>
    <w:tmpl w:val="76563EDC"/>
    <w:lvl w:ilvl="0">
      <w:start w:val="1"/>
      <w:numFmt w:val="bullet"/>
      <w:pStyle w:val="Puces1-RapportAnnexes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2-RapportAnnexes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3-RapportAnnexes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5" w15:restartNumberingAfterBreak="0">
    <w:nsid w:val="121E4E04"/>
    <w:multiLevelType w:val="multilevel"/>
    <w:tmpl w:val="742A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9062E7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3121636"/>
    <w:multiLevelType w:val="multilevel"/>
    <w:tmpl w:val="213A060C"/>
    <w:lvl w:ilvl="0">
      <w:start w:val="1"/>
      <w:numFmt w:val="bullet"/>
      <w:pStyle w:val="Puces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8" w15:restartNumberingAfterBreak="0">
    <w:nsid w:val="27D3747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283F67"/>
    <w:multiLevelType w:val="multilevel"/>
    <w:tmpl w:val="027E0A8A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20" w15:restartNumberingAfterBreak="0">
    <w:nsid w:val="28CC44F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0B5563"/>
    <w:multiLevelType w:val="multilevel"/>
    <w:tmpl w:val="A2366140"/>
    <w:lvl w:ilvl="0">
      <w:start w:val="1"/>
      <w:numFmt w:val="bullet"/>
      <w:pStyle w:val="PucesMail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Mail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Mail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22" w15:restartNumberingAfterBreak="0">
    <w:nsid w:val="39511DBB"/>
    <w:multiLevelType w:val="hybridMultilevel"/>
    <w:tmpl w:val="46024AE6"/>
    <w:lvl w:ilvl="0" w:tplc="E7BA7B22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AED4955"/>
    <w:multiLevelType w:val="multilevel"/>
    <w:tmpl w:val="B68ED8B6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24" w15:restartNumberingAfterBreak="0">
    <w:nsid w:val="3E67292E"/>
    <w:multiLevelType w:val="hybridMultilevel"/>
    <w:tmpl w:val="96B8AE16"/>
    <w:lvl w:ilvl="0" w:tplc="74E4E4C4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F7121ED8">
      <w:start w:val="1"/>
      <w:numFmt w:val="bullet"/>
      <w:pStyle w:val="PuceMmo3"/>
      <w:lvlText w:val=""/>
      <w:lvlJc w:val="left"/>
      <w:pPr>
        <w:tabs>
          <w:tab w:val="num" w:pos="907"/>
        </w:tabs>
        <w:ind w:left="907" w:hanging="283"/>
      </w:pPr>
      <w:rPr>
        <w:rFonts w:ascii="Wingdings 2" w:hAnsi="Wingdings 2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4401258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06B4EF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6D5CA9"/>
    <w:multiLevelType w:val="multilevel"/>
    <w:tmpl w:val="F27E4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olor w:val="00800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/>
        <w:i w:val="0"/>
        <w:color w:val="008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color w:val="00800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color w:val="00800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9387A34"/>
    <w:multiLevelType w:val="multilevel"/>
    <w:tmpl w:val="B1B6458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B34317C"/>
    <w:multiLevelType w:val="hybridMultilevel"/>
    <w:tmpl w:val="1946F134"/>
    <w:lvl w:ilvl="0" w:tplc="156E9BFC">
      <w:start w:val="1"/>
      <w:numFmt w:val="bullet"/>
      <w:pStyle w:val="Paragrapheexplications"/>
      <w:lvlText w:val="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845ED"/>
    <w:multiLevelType w:val="hybridMultilevel"/>
    <w:tmpl w:val="4106ED38"/>
    <w:lvl w:ilvl="0" w:tplc="7AE41C52">
      <w:start w:val="1"/>
      <w:numFmt w:val="bullet"/>
      <w:pStyle w:val="Listepuces"/>
      <w:lvlText w:val="-"/>
      <w:lvlJc w:val="left"/>
      <w:pPr>
        <w:tabs>
          <w:tab w:val="num" w:pos="1211"/>
        </w:tabs>
        <w:ind w:left="1134" w:hanging="283"/>
      </w:pPr>
      <w:rPr>
        <w:rFonts w:asci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F25670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F7F5FCF"/>
    <w:multiLevelType w:val="hybridMultilevel"/>
    <w:tmpl w:val="08E6DA86"/>
    <w:lvl w:ilvl="0" w:tplc="D486B784">
      <w:start w:val="1"/>
      <w:numFmt w:val="bullet"/>
      <w:pStyle w:val="PuceMmo2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753CE328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Helv" w:hAnsi="Helv" w:cs="Helv" w:hint="default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649570CA"/>
    <w:multiLevelType w:val="hybridMultilevel"/>
    <w:tmpl w:val="89F60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B5DA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463B5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C52F80"/>
    <w:multiLevelType w:val="multilevel"/>
    <w:tmpl w:val="F8B610D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37" w15:restartNumberingAfterBreak="0">
    <w:nsid w:val="6BF4407F"/>
    <w:multiLevelType w:val="multilevel"/>
    <w:tmpl w:val="232A5C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/>
        <w:color w:val="00800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00800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  <w:color w:val="008000"/>
      </w:rPr>
    </w:lvl>
    <w:lvl w:ilvl="6">
      <w:start w:val="1"/>
      <w:numFmt w:val="decimal"/>
      <w:pStyle w:val="Titre7-RapportAnnexe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40E20E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7443F8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011287"/>
    <w:multiLevelType w:val="multilevel"/>
    <w:tmpl w:val="A2564006"/>
    <w:lvl w:ilvl="0">
      <w:start w:val="1"/>
      <w:numFmt w:val="decimal"/>
      <w:pStyle w:val="Titre1-RapportAnnexe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CF512BC"/>
    <w:multiLevelType w:val="multilevel"/>
    <w:tmpl w:val="EF5E7DF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pStyle w:val="Puces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2">
      <w:start w:val="1"/>
      <w:numFmt w:val="bullet"/>
      <w:pStyle w:val="Puces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42" w15:restartNumberingAfterBreak="0">
    <w:nsid w:val="7D5C1260"/>
    <w:multiLevelType w:val="hybridMultilevel"/>
    <w:tmpl w:val="7256DF68"/>
    <w:lvl w:ilvl="0" w:tplc="3AD467B2">
      <w:start w:val="1"/>
      <w:numFmt w:val="bullet"/>
      <w:pStyle w:val="PuceMmo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42"/>
  </w:num>
  <w:num w:numId="4">
    <w:abstractNumId w:val="32"/>
  </w:num>
  <w:num w:numId="5">
    <w:abstractNumId w:val="24"/>
  </w:num>
  <w:num w:numId="6">
    <w:abstractNumId w:val="41"/>
  </w:num>
  <w:num w:numId="7">
    <w:abstractNumId w:val="37"/>
  </w:num>
  <w:num w:numId="8">
    <w:abstractNumId w:val="34"/>
  </w:num>
  <w:num w:numId="9">
    <w:abstractNumId w:val="13"/>
  </w:num>
  <w:num w:numId="10">
    <w:abstractNumId w:val="28"/>
  </w:num>
  <w:num w:numId="11">
    <w:abstractNumId w:val="18"/>
  </w:num>
  <w:num w:numId="12">
    <w:abstractNumId w:val="40"/>
  </w:num>
  <w:num w:numId="13">
    <w:abstractNumId w:val="20"/>
  </w:num>
  <w:num w:numId="14">
    <w:abstractNumId w:val="31"/>
  </w:num>
  <w:num w:numId="15">
    <w:abstractNumId w:val="25"/>
  </w:num>
  <w:num w:numId="16">
    <w:abstractNumId w:val="39"/>
  </w:num>
  <w:num w:numId="17">
    <w:abstractNumId w:val="38"/>
  </w:num>
  <w:num w:numId="18">
    <w:abstractNumId w:val="16"/>
  </w:num>
  <w:num w:numId="19">
    <w:abstractNumId w:val="35"/>
  </w:num>
  <w:num w:numId="20">
    <w:abstractNumId w:val="26"/>
  </w:num>
  <w:num w:numId="21">
    <w:abstractNumId w:val="36"/>
  </w:num>
  <w:num w:numId="22">
    <w:abstractNumId w:val="17"/>
  </w:num>
  <w:num w:numId="23">
    <w:abstractNumId w:val="12"/>
  </w:num>
  <w:num w:numId="24">
    <w:abstractNumId w:val="19"/>
  </w:num>
  <w:num w:numId="25">
    <w:abstractNumId w:val="23"/>
  </w:num>
  <w:num w:numId="26">
    <w:abstractNumId w:val="14"/>
  </w:num>
  <w:num w:numId="27">
    <w:abstractNumId w:val="21"/>
  </w:num>
  <w:num w:numId="28">
    <w:abstractNumId w:val="11"/>
  </w:num>
  <w:num w:numId="29">
    <w:abstractNumId w:val="40"/>
  </w:num>
  <w:num w:numId="30">
    <w:abstractNumId w:val="40"/>
  </w:num>
  <w:num w:numId="31">
    <w:abstractNumId w:val="40"/>
  </w:num>
  <w:num w:numId="32">
    <w:abstractNumId w:val="40"/>
  </w:num>
  <w:num w:numId="33">
    <w:abstractNumId w:val="40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42"/>
  </w:num>
  <w:num w:numId="44">
    <w:abstractNumId w:val="32"/>
  </w:num>
  <w:num w:numId="45">
    <w:abstractNumId w:val="24"/>
  </w:num>
  <w:num w:numId="46">
    <w:abstractNumId w:val="15"/>
  </w:num>
  <w:num w:numId="47">
    <w:abstractNumId w:val="27"/>
  </w:num>
  <w:num w:numId="48">
    <w:abstractNumId w:val="33"/>
  </w:num>
  <w:num w:numId="49">
    <w:abstractNumId w:val="40"/>
  </w:num>
  <w:num w:numId="50">
    <w:abstractNumId w:val="9"/>
  </w:num>
  <w:num w:numId="51">
    <w:abstractNumId w:val="22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709"/>
  <w:hyphenationZone w:val="425"/>
  <w:clickAndTypeStyle w:val="standard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AE"/>
    <w:rsid w:val="00155BAE"/>
    <w:rsid w:val="002F0E6C"/>
    <w:rsid w:val="003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55C7-1F71-4150-A2B2-B3E72CDF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hAnsi="Cambria"/>
      <w:sz w:val="22"/>
      <w:szCs w:val="24"/>
    </w:rPr>
  </w:style>
  <w:style w:type="paragraph" w:styleId="Titre1">
    <w:name w:val="heading 1"/>
    <w:next w:val="standard"/>
    <w:pPr>
      <w:keepNext/>
      <w:keepLines/>
      <w:widowControl w:val="0"/>
      <w:numPr>
        <w:numId w:val="10"/>
      </w:numPr>
      <w:suppressAutoHyphens/>
      <w:spacing w:before="480" w:after="240"/>
      <w:ind w:left="431" w:hanging="431"/>
      <w:jc w:val="both"/>
      <w:outlineLvl w:val="0"/>
    </w:pPr>
    <w:rPr>
      <w:rFonts w:ascii="Cambria" w:hAnsi="Cambria" w:cs="Arial"/>
      <w:b/>
      <w:sz w:val="22"/>
    </w:rPr>
  </w:style>
  <w:style w:type="paragraph" w:styleId="Titre2">
    <w:name w:val="heading 2"/>
    <w:basedOn w:val="Titre1"/>
    <w:next w:val="standard"/>
    <w:pPr>
      <w:numPr>
        <w:ilvl w:val="1"/>
      </w:numPr>
      <w:tabs>
        <w:tab w:val="left" w:pos="851"/>
      </w:tabs>
      <w:outlineLvl w:val="1"/>
    </w:pPr>
  </w:style>
  <w:style w:type="paragraph" w:styleId="Titre3">
    <w:name w:val="heading 3"/>
    <w:next w:val="standard"/>
    <w:pPr>
      <w:keepNext/>
      <w:keepLines/>
      <w:widowControl w:val="0"/>
      <w:numPr>
        <w:ilvl w:val="2"/>
        <w:numId w:val="10"/>
      </w:numPr>
      <w:tabs>
        <w:tab w:val="left" w:pos="1134"/>
      </w:tabs>
      <w:suppressAutoHyphens/>
      <w:spacing w:before="360" w:after="240"/>
      <w:jc w:val="both"/>
      <w:outlineLvl w:val="2"/>
    </w:pPr>
    <w:rPr>
      <w:rFonts w:ascii="Cambria" w:hAnsi="Cambria"/>
      <w:b/>
      <w:sz w:val="22"/>
    </w:rPr>
  </w:style>
  <w:style w:type="paragraph" w:styleId="Titre4">
    <w:name w:val="heading 4"/>
    <w:next w:val="standard"/>
    <w:pPr>
      <w:keepNext/>
      <w:keepLines/>
      <w:widowControl w:val="0"/>
      <w:numPr>
        <w:ilvl w:val="3"/>
        <w:numId w:val="10"/>
      </w:numPr>
      <w:suppressAutoHyphens/>
      <w:spacing w:before="360" w:after="240"/>
      <w:jc w:val="both"/>
      <w:outlineLvl w:val="3"/>
    </w:pPr>
    <w:rPr>
      <w:rFonts w:ascii="Cambria" w:hAnsi="Cambria"/>
      <w:b/>
      <w:i/>
      <w:sz w:val="22"/>
    </w:rPr>
  </w:style>
  <w:style w:type="paragraph" w:styleId="Titre5">
    <w:name w:val="heading 5"/>
    <w:next w:val="standard"/>
    <w:pPr>
      <w:keepNext/>
      <w:keepLines/>
      <w:numPr>
        <w:ilvl w:val="4"/>
        <w:numId w:val="10"/>
      </w:numPr>
      <w:suppressAutoHyphens/>
      <w:spacing w:before="360" w:after="240"/>
      <w:jc w:val="both"/>
      <w:outlineLvl w:val="4"/>
    </w:pPr>
    <w:rPr>
      <w:rFonts w:ascii="Cambria" w:hAnsi="Cambria"/>
      <w:bCs/>
      <w:i/>
      <w:iCs/>
      <w:sz w:val="22"/>
      <w:szCs w:val="26"/>
    </w:rPr>
  </w:style>
  <w:style w:type="paragraph" w:styleId="Titre6">
    <w:name w:val="heading 6"/>
    <w:next w:val="standard"/>
    <w:pPr>
      <w:keepNext/>
      <w:numPr>
        <w:ilvl w:val="5"/>
        <w:numId w:val="10"/>
      </w:numPr>
      <w:spacing w:before="360" w:after="240"/>
      <w:jc w:val="both"/>
      <w:outlineLvl w:val="5"/>
    </w:pPr>
    <w:rPr>
      <w:rFonts w:ascii="Cambria" w:hAnsi="Cambria"/>
      <w:bCs/>
      <w:i/>
      <w:iCs/>
      <w:sz w:val="22"/>
    </w:rPr>
  </w:style>
  <w:style w:type="paragraph" w:styleId="Titre7">
    <w:name w:val="heading 7"/>
    <w:next w:val="standard"/>
    <w:qFormat/>
    <w:pPr>
      <w:keepNext/>
      <w:numPr>
        <w:ilvl w:val="6"/>
        <w:numId w:val="10"/>
      </w:numPr>
      <w:spacing w:before="360" w:after="240"/>
      <w:outlineLvl w:val="6"/>
    </w:pPr>
    <w:rPr>
      <w:rFonts w:ascii="Cambria" w:hAnsi="Cambria"/>
      <w:bCs/>
      <w:i/>
      <w:iCs/>
      <w:sz w:val="22"/>
    </w:rPr>
  </w:style>
  <w:style w:type="paragraph" w:styleId="Titre8">
    <w:name w:val="heading 8"/>
    <w:basedOn w:val="Titre7"/>
    <w:next w:val="Normal"/>
    <w:qFormat/>
    <w:pPr>
      <w:numPr>
        <w:ilvl w:val="0"/>
        <w:numId w:val="0"/>
      </w:numPr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qFormat/>
    <w:pPr>
      <w:keepLines/>
      <w:spacing w:before="120" w:after="120"/>
      <w:jc w:val="both"/>
    </w:pPr>
    <w:rPr>
      <w:rFonts w:ascii="Cambria" w:hAnsi="Cambria"/>
      <w:sz w:val="22"/>
    </w:rPr>
  </w:style>
  <w:style w:type="character" w:customStyle="1" w:styleId="standardCar">
    <w:name w:val="standard Car"/>
    <w:link w:val="standard"/>
    <w:rPr>
      <w:rFonts w:ascii="Cambria" w:hAnsi="Cambria"/>
      <w:sz w:val="22"/>
      <w:lang w:val="fr-FR" w:eastAsia="fr-FR" w:bidi="ar-SA"/>
    </w:rPr>
  </w:style>
  <w:style w:type="character" w:styleId="Appelnotedebasdep">
    <w:name w:val="footnote reference"/>
    <w:rPr>
      <w:b/>
      <w:color w:val="008000"/>
      <w:sz w:val="22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link w:val="LgendeCar"/>
    <w:qFormat/>
    <w:pPr>
      <w:keepNext/>
      <w:keepLines/>
      <w:tabs>
        <w:tab w:val="center" w:pos="4253"/>
        <w:tab w:val="right" w:pos="850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0"/>
      <w:szCs w:val="20"/>
    </w:rPr>
  </w:style>
  <w:style w:type="character" w:customStyle="1" w:styleId="LgendeCar">
    <w:name w:val="Légende Car"/>
    <w:link w:val="Lgende"/>
    <w:qFormat/>
    <w:rPr>
      <w:rFonts w:ascii="Cambria" w:hAnsi="Cambria"/>
      <w:b/>
      <w:bCs/>
      <w:lang w:val="fr-FR" w:eastAsia="fr-FR" w:bidi="ar-SA"/>
    </w:rPr>
  </w:style>
  <w:style w:type="paragraph" w:styleId="Listepuces">
    <w:name w:val="List Bullet"/>
    <w:basedOn w:val="Normal"/>
    <w:pPr>
      <w:numPr>
        <w:numId w:val="1"/>
      </w:numPr>
      <w:tabs>
        <w:tab w:val="clear" w:pos="1211"/>
        <w:tab w:val="left" w:pos="1304"/>
      </w:tabs>
      <w:spacing w:before="120" w:after="120"/>
      <w:ind w:left="1304" w:hanging="170"/>
      <w:jc w:val="both"/>
    </w:pPr>
  </w:style>
  <w:style w:type="paragraph" w:customStyle="1" w:styleId="NormalTableau">
    <w:name w:val="Normal.Tableau"/>
    <w:basedOn w:val="standard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</w:rPr>
  </w:style>
  <w:style w:type="paragraph" w:styleId="Notedebasdepage">
    <w:name w:val="footnote text"/>
    <w:basedOn w:val="Normal"/>
    <w:pPr>
      <w:tabs>
        <w:tab w:val="center" w:pos="4253"/>
        <w:tab w:val="right" w:pos="8505"/>
      </w:tabs>
      <w:overflowPunct w:val="0"/>
      <w:autoSpaceDE w:val="0"/>
      <w:autoSpaceDN w:val="0"/>
      <w:adjustRightInd w:val="0"/>
      <w:spacing w:after="40"/>
      <w:jc w:val="both"/>
      <w:textAlignment w:val="baseline"/>
    </w:pPr>
    <w:rPr>
      <w:sz w:val="18"/>
      <w:szCs w:val="20"/>
    </w:rPr>
  </w:style>
  <w:style w:type="character" w:customStyle="1" w:styleId="Obs">
    <w:name w:val="Obs"/>
    <w:rPr>
      <w:rFonts w:ascii="Cambria" w:hAnsi="Cambria"/>
      <w:b/>
      <w:sz w:val="22"/>
      <w:u w:val="single"/>
      <w:effect w:val="none"/>
    </w:rPr>
  </w:style>
  <w:style w:type="paragraph" w:customStyle="1" w:styleId="Pagedegarde">
    <w:name w:val="Page de garde"/>
    <w:basedOn w:val="Normal"/>
    <w:pPr>
      <w:jc w:val="center"/>
    </w:pPr>
    <w:rPr>
      <w:b/>
      <w:caps/>
      <w:sz w:val="28"/>
    </w:rPr>
  </w:style>
  <w:style w:type="paragraph" w:customStyle="1" w:styleId="Paragrapheavecobs">
    <w:name w:val="Paragraphe avec obs."/>
    <w:next w:val="Normal"/>
    <w:link w:val="ParagrapheavecobsCar"/>
    <w:pPr>
      <w:keepLines/>
      <w:overflowPunct w:val="0"/>
      <w:autoSpaceDE w:val="0"/>
      <w:autoSpaceDN w:val="0"/>
      <w:adjustRightInd w:val="0"/>
      <w:spacing w:before="180" w:after="180"/>
      <w:ind w:hanging="567"/>
      <w:jc w:val="both"/>
      <w:textAlignment w:val="baseline"/>
    </w:pPr>
    <w:rPr>
      <w:rFonts w:ascii="Cambria" w:hAnsi="Cambria"/>
      <w:sz w:val="22"/>
    </w:rPr>
  </w:style>
  <w:style w:type="character" w:customStyle="1" w:styleId="ParagrapheavecobsCar">
    <w:name w:val="Paragraphe avec obs. Car"/>
    <w:link w:val="Paragrapheavecobs"/>
    <w:rPr>
      <w:rFonts w:ascii="Cambria" w:hAnsi="Cambria"/>
      <w:sz w:val="22"/>
      <w:lang w:val="fr-FR" w:eastAsia="fr-FR" w:bidi="ar-SA"/>
    </w:rPr>
  </w:style>
  <w:style w:type="paragraph" w:customStyle="1" w:styleId="Paragraphedbutnumration">
    <w:name w:val="Paragraphe début énumération"/>
    <w:basedOn w:val="Normal"/>
    <w:pPr>
      <w:keepNext/>
      <w:keepLine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Paragrapheexplications">
    <w:name w:val="Paragraphe explications"/>
    <w:basedOn w:val="Normal"/>
    <w:next w:val="Normal"/>
    <w:pPr>
      <w:numPr>
        <w:numId w:val="2"/>
      </w:numPr>
      <w:tabs>
        <w:tab w:val="clear" w:pos="1494"/>
        <w:tab w:val="num" w:pos="360"/>
      </w:tabs>
      <w:spacing w:before="60" w:after="60"/>
      <w:ind w:firstLine="0"/>
    </w:pPr>
    <w:rPr>
      <w:rFonts w:ascii="Arial" w:hAnsi="Arial"/>
      <w:sz w:val="20"/>
    </w:rPr>
  </w:style>
  <w:style w:type="paragraph" w:customStyle="1" w:styleId="Paragraphestandard">
    <w:name w:val="Paragraphe standard"/>
    <w:basedOn w:val="standard"/>
    <w:next w:val="standard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ignatu">
    <w:name w:val="Signatu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sz w:val="22"/>
    </w:rPr>
  </w:style>
  <w:style w:type="paragraph" w:customStyle="1" w:styleId="Source">
    <w:name w:val="Source"/>
    <w:basedOn w:val="standard"/>
    <w:next w:val="standard"/>
    <w:link w:val="SourceCar"/>
    <w:pPr>
      <w:widowControl w:val="0"/>
      <w:suppressAutoHyphens/>
      <w:overflowPunct w:val="0"/>
      <w:autoSpaceDE w:val="0"/>
      <w:autoSpaceDN w:val="0"/>
      <w:adjustRightInd w:val="0"/>
      <w:spacing w:before="40" w:after="180"/>
      <w:textAlignment w:val="baseline"/>
    </w:pPr>
    <w:rPr>
      <w:i/>
      <w:sz w:val="18"/>
    </w:rPr>
  </w:style>
  <w:style w:type="character" w:customStyle="1" w:styleId="SourceCar">
    <w:name w:val="Source Car"/>
    <w:link w:val="Source"/>
    <w:rPr>
      <w:rFonts w:ascii="Cambria" w:hAnsi="Cambria"/>
      <w:i/>
      <w:sz w:val="18"/>
      <w:lang w:val="fr-FR" w:eastAsia="fr-FR" w:bidi="ar-SA"/>
    </w:rPr>
  </w:style>
  <w:style w:type="paragraph" w:customStyle="1" w:styleId="Tableauentte">
    <w:name w:val="Tableau entête"/>
    <w:basedOn w:val="standard"/>
    <w:pPr>
      <w:spacing w:before="20" w:after="20"/>
      <w:jc w:val="center"/>
    </w:pPr>
    <w:rPr>
      <w:b/>
      <w:color w:val="008000"/>
      <w:sz w:val="20"/>
    </w:rPr>
  </w:style>
  <w:style w:type="paragraph" w:customStyle="1" w:styleId="Tableaulibells">
    <w:name w:val="Tableau libellés"/>
    <w:basedOn w:val="Normal"/>
    <w:pPr>
      <w:keepLines/>
    </w:pPr>
    <w:rPr>
      <w:sz w:val="20"/>
    </w:rPr>
  </w:style>
  <w:style w:type="paragraph" w:styleId="Titre">
    <w:name w:val="Title"/>
    <w:basedOn w:val="Normal"/>
    <w:qFormat/>
    <w:pPr>
      <w:spacing w:before="240" w:after="60"/>
      <w:jc w:val="center"/>
    </w:pPr>
    <w:rPr>
      <w:rFonts w:cs="Arial"/>
      <w:b/>
      <w:bCs/>
      <w:color w:val="008000"/>
      <w:kern w:val="28"/>
      <w:sz w:val="28"/>
      <w:szCs w:val="32"/>
    </w:rPr>
  </w:style>
  <w:style w:type="paragraph" w:customStyle="1" w:styleId="TitreSommaire">
    <w:name w:val="Titre Sommaire"/>
    <w:basedOn w:val="Titre"/>
    <w:next w:val="Normal"/>
  </w:style>
  <w:style w:type="paragraph" w:styleId="TM1">
    <w:name w:val="toc 1"/>
    <w:basedOn w:val="Normal"/>
    <w:next w:val="Normal"/>
    <w:autoRedefine/>
    <w:uiPriority w:val="39"/>
    <w:pPr>
      <w:keepNext/>
      <w:keepLines/>
      <w:tabs>
        <w:tab w:val="left" w:pos="425"/>
        <w:tab w:val="right" w:leader="dot" w:pos="9072"/>
      </w:tabs>
      <w:overflowPunct w:val="0"/>
      <w:autoSpaceDE w:val="0"/>
      <w:autoSpaceDN w:val="0"/>
      <w:adjustRightInd w:val="0"/>
      <w:spacing w:before="240" w:after="120"/>
      <w:ind w:left="425" w:right="425" w:hanging="425"/>
      <w:jc w:val="both"/>
      <w:textAlignment w:val="baseline"/>
    </w:pPr>
    <w:rPr>
      <w:b/>
      <w:bCs/>
      <w:caps/>
      <w:noProof/>
    </w:rPr>
  </w:style>
  <w:style w:type="paragraph" w:styleId="TM2">
    <w:name w:val="toc 2"/>
    <w:basedOn w:val="Normal"/>
    <w:next w:val="Normal"/>
    <w:uiPriority w:val="39"/>
    <w:pPr>
      <w:keepNext/>
      <w:keepLines/>
      <w:tabs>
        <w:tab w:val="left" w:pos="425"/>
        <w:tab w:val="left" w:leader="dot" w:pos="992"/>
        <w:tab w:val="right" w:leader="dot" w:pos="9072"/>
      </w:tabs>
      <w:overflowPunct w:val="0"/>
      <w:autoSpaceDE w:val="0"/>
      <w:autoSpaceDN w:val="0"/>
      <w:adjustRightInd w:val="0"/>
      <w:spacing w:before="60"/>
      <w:ind w:left="850" w:right="425" w:hanging="425"/>
      <w:textAlignment w:val="baseline"/>
    </w:pPr>
    <w:rPr>
      <w:noProof/>
    </w:rPr>
  </w:style>
  <w:style w:type="paragraph" w:styleId="TM3">
    <w:name w:val="toc 3"/>
    <w:basedOn w:val="Normal"/>
    <w:next w:val="Normal"/>
    <w:uiPriority w:val="39"/>
    <w:pPr>
      <w:tabs>
        <w:tab w:val="left" w:pos="425"/>
        <w:tab w:val="left" w:pos="1559"/>
        <w:tab w:val="right" w:leader="dot" w:pos="9072"/>
      </w:tabs>
      <w:overflowPunct w:val="0"/>
      <w:autoSpaceDE w:val="0"/>
      <w:autoSpaceDN w:val="0"/>
      <w:adjustRightInd w:val="0"/>
      <w:ind w:left="1560" w:right="425" w:hanging="709"/>
      <w:textAlignment w:val="baseline"/>
    </w:pPr>
    <w:rPr>
      <w:i/>
      <w:iCs/>
      <w:noProof/>
    </w:rPr>
  </w:style>
  <w:style w:type="paragraph" w:customStyle="1" w:styleId="TT">
    <w:name w:val="TT"/>
    <w:pPr>
      <w:keepNext/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sz w:val="22"/>
      <w:u w:val="single"/>
    </w:rPr>
  </w:style>
  <w:style w:type="paragraph" w:customStyle="1" w:styleId="PucesMail1">
    <w:name w:val="Puces Mail 1"/>
    <w:basedOn w:val="Puces1-RapportAnnexes"/>
    <w:pPr>
      <w:numPr>
        <w:numId w:val="27"/>
      </w:numPr>
    </w:pPr>
  </w:style>
  <w:style w:type="paragraph" w:customStyle="1" w:styleId="Puces1-RapportAnnexes">
    <w:name w:val="Puces 1 - Rapport &amp; Annexes"/>
    <w:basedOn w:val="Puces1"/>
    <w:qFormat/>
    <w:pPr>
      <w:numPr>
        <w:numId w:val="26"/>
      </w:numPr>
    </w:pPr>
  </w:style>
  <w:style w:type="paragraph" w:customStyle="1" w:styleId="Puces1">
    <w:name w:val="Puces 1"/>
    <w:basedOn w:val="standard"/>
    <w:link w:val="Puces1CarCar"/>
    <w:qFormat/>
    <w:pPr>
      <w:numPr>
        <w:numId w:val="22"/>
      </w:numPr>
      <w:suppressAutoHyphens/>
      <w:overflowPunct w:val="0"/>
      <w:autoSpaceDE w:val="0"/>
      <w:autoSpaceDN w:val="0"/>
      <w:adjustRightInd w:val="0"/>
      <w:spacing w:before="60" w:after="60"/>
      <w:textAlignment w:val="baseline"/>
    </w:pPr>
  </w:style>
  <w:style w:type="character" w:customStyle="1" w:styleId="Puces1CarCar">
    <w:name w:val="Puces 1 Car Car"/>
    <w:link w:val="Puces1"/>
    <w:qFormat/>
    <w:rPr>
      <w:rFonts w:ascii="Cambria" w:hAnsi="Cambria"/>
      <w:sz w:val="22"/>
      <w:lang w:val="fr-FR" w:eastAsia="fr-FR" w:bidi="ar-SA"/>
    </w:rPr>
  </w:style>
  <w:style w:type="paragraph" w:customStyle="1" w:styleId="PucesMail2">
    <w:name w:val="Puces Mail 2"/>
    <w:basedOn w:val="Puces2"/>
    <w:pPr>
      <w:numPr>
        <w:numId w:val="27"/>
      </w:numPr>
    </w:pPr>
  </w:style>
  <w:style w:type="paragraph" w:customStyle="1" w:styleId="Puces2">
    <w:name w:val="Puces 2"/>
    <w:basedOn w:val="standard"/>
    <w:pPr>
      <w:numPr>
        <w:ilvl w:val="1"/>
        <w:numId w:val="6"/>
      </w:num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PucesMail3">
    <w:name w:val="Puces Mail 3"/>
    <w:basedOn w:val="Puces3"/>
    <w:pPr>
      <w:numPr>
        <w:numId w:val="27"/>
      </w:numPr>
    </w:pPr>
  </w:style>
  <w:style w:type="paragraph" w:customStyle="1" w:styleId="Puces3">
    <w:name w:val="Puces 3"/>
    <w:basedOn w:val="standard"/>
    <w:pPr>
      <w:numPr>
        <w:ilvl w:val="2"/>
        <w:numId w:val="6"/>
      </w:numPr>
      <w:tabs>
        <w:tab w:val="clear" w:pos="1134"/>
        <w:tab w:val="num" w:pos="1701"/>
      </w:tabs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StandardMail">
    <w:name w:val="Standard Mail"/>
    <w:basedOn w:val="Normal"/>
    <w:pPr>
      <w:keepLines/>
      <w:spacing w:before="120" w:after="120"/>
      <w:jc w:val="both"/>
    </w:pPr>
    <w:rPr>
      <w:szCs w:val="20"/>
    </w:rPr>
  </w:style>
  <w:style w:type="character" w:styleId="AcronymeHTML">
    <w:name w:val="HTML Acronym"/>
    <w:rPr>
      <w:rFonts w:ascii="Cambria" w:hAnsi="Cambri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paragraph" w:styleId="AdresseHTML">
    <w:name w:val="HTML Address"/>
    <w:basedOn w:val="Normal"/>
    <w:link w:val="AdresseHTMLCar"/>
    <w:rPr>
      <w:i/>
      <w:iCs/>
    </w:rPr>
  </w:style>
  <w:style w:type="character" w:customStyle="1" w:styleId="AdresseHTMLCar">
    <w:name w:val="Adresse HTML Car"/>
    <w:link w:val="AdresseHTML"/>
    <w:rPr>
      <w:rFonts w:ascii="Cambria" w:hAnsi="Cambria"/>
      <w:i/>
      <w:iCs/>
      <w:sz w:val="22"/>
      <w:szCs w:val="24"/>
      <w:lang w:val="fr-FR" w:eastAsia="fr-FR" w:bidi="ar-SA"/>
    </w:rPr>
  </w:style>
  <w:style w:type="paragraph" w:customStyle="1" w:styleId="AnnexeNo">
    <w:name w:val="Annexe_No"/>
    <w:basedOn w:val="Normal"/>
    <w:qFormat/>
    <w:pPr>
      <w:pageBreakBefore/>
      <w:spacing w:after="1080"/>
      <w:jc w:val="center"/>
    </w:pPr>
    <w:rPr>
      <w:b/>
      <w:caps/>
      <w:color w:val="008000"/>
      <w:spacing w:val="30"/>
      <w:sz w:val="40"/>
      <w:szCs w:val="20"/>
    </w:rPr>
  </w:style>
  <w:style w:type="paragraph" w:customStyle="1" w:styleId="Annexetitre">
    <w:name w:val="Annexe_titre"/>
    <w:basedOn w:val="Normal"/>
    <w:pPr>
      <w:spacing w:after="240"/>
      <w:jc w:val="center"/>
    </w:pPr>
    <w:rPr>
      <w:b/>
      <w:color w:val="008000"/>
      <w:spacing w:val="20"/>
      <w:sz w:val="40"/>
      <w:szCs w:val="32"/>
    </w:rPr>
  </w:style>
  <w:style w:type="character" w:styleId="Appeldenotedefin">
    <w:name w:val="endnote reference"/>
    <w:rPr>
      <w:rFonts w:ascii="Cambria" w:hAnsi="Cambria"/>
      <w:vertAlign w:val="superscript"/>
    </w:rPr>
  </w:style>
  <w:style w:type="table" w:styleId="Tableauclassique1">
    <w:name w:val="Table Classic 1"/>
    <w:basedOn w:val="TableauNormal"/>
    <w:rPr>
      <w:rFonts w:ascii="Cambria" w:hAnsi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Pr>
      <w:rFonts w:ascii="Cambria" w:hAnsi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Pr>
      <w:rFonts w:ascii="Cambria" w:hAnsi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Pr>
      <w:rFonts w:ascii="Cambria" w:hAnsi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Pr>
      <w:rFonts w:ascii="Cambria" w:hAnsi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Pr>
      <w:rFonts w:ascii="Cambria" w:hAnsi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Pr>
      <w:rFonts w:ascii="Cambria" w:hAnsi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Pr>
      <w:rFonts w:ascii="Cambria" w:hAnsi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Pr>
      <w:rFonts w:ascii="Cambria" w:hAnsi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Pr>
      <w:rFonts w:ascii="Cambria" w:hAnsi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Pr>
      <w:rFonts w:ascii="Cambria" w:hAnsi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Pr>
      <w:rFonts w:ascii="Cambria" w:hAnsi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Pr>
      <w:sz w:val="20"/>
      <w:szCs w:val="20"/>
    </w:rPr>
  </w:style>
  <w:style w:type="table" w:styleId="Tableaucontemporain">
    <w:name w:val="Table Contemporary"/>
    <w:basedOn w:val="TableauNormal"/>
    <w:rPr>
      <w:rFonts w:ascii="Cambria" w:hAnsi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ateconclusion">
    <w:name w:val="date_conclusion"/>
    <w:basedOn w:val="standard"/>
    <w:next w:val="standard"/>
    <w:pPr>
      <w:spacing w:before="600"/>
      <w:jc w:val="center"/>
    </w:pPr>
  </w:style>
  <w:style w:type="character" w:styleId="DfinitionHTML">
    <w:name w:val="HTML Definition"/>
    <w:rPr>
      <w:rFonts w:ascii="Cambria" w:hAnsi="Cambria"/>
      <w:i/>
      <w:iCs/>
    </w:rPr>
  </w:style>
  <w:style w:type="character" w:styleId="lev">
    <w:name w:val="Strong"/>
    <w:uiPriority w:val="22"/>
    <w:qFormat/>
    <w:rPr>
      <w:rFonts w:ascii="Cambria" w:hAnsi="Cambria"/>
      <w:b/>
      <w:bCs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Grilledetableau1">
    <w:name w:val="Table Grid 1"/>
    <w:basedOn w:val="TableauNormal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Pr>
      <w:rFonts w:ascii="Cambria" w:hAnsi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Pr>
      <w:rFonts w:ascii="Cambria" w:hAnsi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Pr>
      <w:rFonts w:ascii="Cambria" w:hAnsi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Pr>
      <w:rFonts w:ascii="Cambria" w:hAnsi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Pr>
      <w:rFonts w:ascii="Cambria" w:hAnsi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listeannexe">
    <w:name w:val="liste_annexe"/>
    <w:link w:val="listeannexeCarCar"/>
    <w:pPr>
      <w:tabs>
        <w:tab w:val="num" w:pos="360"/>
      </w:tabs>
      <w:spacing w:after="240"/>
      <w:ind w:left="360" w:hanging="360"/>
      <w:jc w:val="both"/>
    </w:pPr>
    <w:rPr>
      <w:rFonts w:ascii="Cambria" w:hAnsi="Cambria"/>
      <w:caps/>
      <w:sz w:val="22"/>
    </w:rPr>
  </w:style>
  <w:style w:type="character" w:customStyle="1" w:styleId="listeannexeCarCar">
    <w:name w:val="liste_annexe Car Car"/>
    <w:link w:val="listeannexe"/>
    <w:rPr>
      <w:rFonts w:ascii="Cambria" w:hAnsi="Cambria"/>
      <w:caps/>
      <w:sz w:val="22"/>
      <w:lang w:val="fr-FR" w:eastAsia="fr-FR" w:bidi="ar-SA"/>
    </w:rPr>
  </w:style>
  <w:style w:type="paragraph" w:customStyle="1" w:styleId="logosministrielspara">
    <w:name w:val="logos_ministériels_para"/>
    <w:basedOn w:val="standard"/>
    <w:pPr>
      <w:keepLines w:val="0"/>
      <w:widowControl w:val="0"/>
      <w:spacing w:after="0"/>
      <w:jc w:val="center"/>
    </w:pPr>
  </w:style>
  <w:style w:type="paragraph" w:styleId="NormalWeb">
    <w:name w:val="Normal (Web)"/>
    <w:basedOn w:val="Normal"/>
  </w:style>
  <w:style w:type="paragraph" w:styleId="Notedefin">
    <w:name w:val="endnote text"/>
    <w:basedOn w:val="Normal"/>
    <w:rPr>
      <w:sz w:val="20"/>
      <w:szCs w:val="20"/>
    </w:rPr>
  </w:style>
  <w:style w:type="character" w:styleId="Numrodeligne">
    <w:name w:val="line number"/>
    <w:rPr>
      <w:rFonts w:ascii="Cambria" w:hAnsi="Cambria"/>
    </w:rPr>
  </w:style>
  <w:style w:type="character" w:styleId="Numrodepage">
    <w:name w:val="page number"/>
    <w:rPr>
      <w:rFonts w:ascii="Cambria" w:hAnsi="Cambria"/>
      <w:color w:val="auto"/>
      <w:sz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table" w:styleId="Tableauple1">
    <w:name w:val="Table Subtle 1"/>
    <w:basedOn w:val="TableauNormal"/>
    <w:rPr>
      <w:rFonts w:ascii="Cambria" w:hAnsi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Pr>
      <w:rFonts w:ascii="Cambria" w:hAnsi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roposition">
    <w:name w:val="Proposition"/>
    <w:basedOn w:val="standard"/>
    <w:next w:val="standard"/>
    <w:rPr>
      <w:b/>
      <w:u w:val="single"/>
    </w:rPr>
  </w:style>
  <w:style w:type="paragraph" w:customStyle="1" w:styleId="PuceMmo">
    <w:name w:val="Puce Mémo"/>
    <w:basedOn w:val="standard"/>
    <w:pPr>
      <w:numPr>
        <w:numId w:val="43"/>
      </w:numPr>
      <w:overflowPunct w:val="0"/>
      <w:autoSpaceDE w:val="0"/>
      <w:autoSpaceDN w:val="0"/>
      <w:adjustRightInd w:val="0"/>
      <w:spacing w:before="60" w:after="60"/>
      <w:ind w:left="284" w:right="57" w:hanging="227"/>
      <w:textAlignment w:val="baseline"/>
    </w:pPr>
    <w:rPr>
      <w:color w:val="000000"/>
      <w:sz w:val="20"/>
    </w:rPr>
  </w:style>
  <w:style w:type="paragraph" w:customStyle="1" w:styleId="PuceMmo2">
    <w:name w:val="Puce Mémo 2"/>
    <w:basedOn w:val="PuceMmo"/>
    <w:pPr>
      <w:numPr>
        <w:numId w:val="44"/>
      </w:numPr>
      <w:tabs>
        <w:tab w:val="clear" w:pos="417"/>
      </w:tabs>
      <w:ind w:left="568" w:hanging="284"/>
    </w:pPr>
  </w:style>
  <w:style w:type="paragraph" w:customStyle="1" w:styleId="PuceMmo3">
    <w:name w:val="Puce Mémo 3"/>
    <w:basedOn w:val="PuceMmo"/>
    <w:pPr>
      <w:numPr>
        <w:ilvl w:val="1"/>
        <w:numId w:val="45"/>
      </w:numPr>
      <w:tabs>
        <w:tab w:val="clear" w:pos="907"/>
        <w:tab w:val="left" w:pos="851"/>
      </w:tabs>
      <w:ind w:left="851" w:hanging="284"/>
    </w:pPr>
  </w:style>
  <w:style w:type="table" w:styleId="Tableausimple1">
    <w:name w:val="Table Simple 1"/>
    <w:basedOn w:val="TableauNormal"/>
    <w:rPr>
      <w:rFonts w:ascii="Cambria" w:hAnsi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Pr>
      <w:rFonts w:ascii="Cambria" w:hAnsi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pPr>
      <w:spacing w:after="60"/>
      <w:jc w:val="center"/>
    </w:pPr>
    <w:rPr>
      <w:rFonts w:cs="Arial"/>
    </w:rPr>
  </w:style>
  <w:style w:type="paragraph" w:customStyle="1" w:styleId="Sous-titreMmo">
    <w:name w:val="Sous-titre Mémo"/>
    <w:basedOn w:val="standard"/>
    <w:link w:val="Sous-titreMmoCar"/>
    <w:pPr>
      <w:spacing w:after="60"/>
      <w:jc w:val="center"/>
    </w:pPr>
    <w:rPr>
      <w:b/>
      <w:color w:val="000000"/>
      <w:sz w:val="20"/>
      <w:u w:val="single"/>
    </w:rPr>
  </w:style>
  <w:style w:type="character" w:customStyle="1" w:styleId="Sous-titreMmoCar">
    <w:name w:val="Sous-titre Mémo Car"/>
    <w:link w:val="Sous-titreMmo"/>
    <w:rPr>
      <w:rFonts w:ascii="Cambria" w:hAnsi="Cambria"/>
      <w:b/>
      <w:color w:val="000000"/>
      <w:sz w:val="22"/>
      <w:u w:val="single"/>
      <w:lang w:val="fr-FR" w:eastAsia="fr-FR" w:bidi="ar-SA"/>
    </w:rPr>
  </w:style>
  <w:style w:type="paragraph" w:customStyle="1" w:styleId="standargrasitalique">
    <w:name w:val="standar_gras_italique"/>
    <w:basedOn w:val="standard"/>
    <w:next w:val="standard"/>
    <w:rPr>
      <w:b/>
      <w:i/>
    </w:rPr>
  </w:style>
  <w:style w:type="paragraph" w:customStyle="1" w:styleId="standardgras">
    <w:name w:val="standard_gras"/>
    <w:basedOn w:val="standard"/>
    <w:pPr>
      <w:widowControl w:val="0"/>
      <w:suppressAutoHyphens/>
      <w:overflowPunct w:val="0"/>
      <w:autoSpaceDE w:val="0"/>
      <w:autoSpaceDN w:val="0"/>
      <w:adjustRightInd w:val="0"/>
      <w:spacing w:after="180"/>
      <w:textAlignment w:val="baseline"/>
    </w:pPr>
    <w:rPr>
      <w:b/>
    </w:rPr>
  </w:style>
  <w:style w:type="paragraph" w:customStyle="1" w:styleId="standarditalique">
    <w:name w:val="standard_italique"/>
    <w:basedOn w:val="standard"/>
    <w:link w:val="standarditaliqueCar"/>
    <w:rPr>
      <w:i/>
    </w:rPr>
  </w:style>
  <w:style w:type="character" w:customStyle="1" w:styleId="standarditaliqueCar">
    <w:name w:val="standard_italique Car"/>
    <w:link w:val="standarditalique"/>
    <w:rPr>
      <w:rFonts w:ascii="Cambria" w:hAnsi="Cambria"/>
      <w:i/>
      <w:sz w:val="22"/>
      <w:lang w:val="fr-FR" w:eastAsia="fr-FR" w:bidi="ar-SA"/>
    </w:rPr>
  </w:style>
  <w:style w:type="paragraph" w:customStyle="1" w:styleId="StyleParagrapheavecobsGauche0cm">
    <w:name w:val="Style Paragraphe avec obs. + Gauche :  0 cm"/>
    <w:basedOn w:val="Paragrapheavecobs"/>
  </w:style>
  <w:style w:type="paragraph" w:customStyle="1" w:styleId="StyleParagrapheavecobsGauche0cmSuspendu095cm">
    <w:name w:val="Style Paragraphe avec obs. + Gauche :  0 cm Suspendu : 095 cm"/>
    <w:basedOn w:val="Paragrapheavecobs"/>
    <w:pPr>
      <w:ind w:left="567"/>
    </w:pPr>
  </w:style>
  <w:style w:type="paragraph" w:customStyle="1" w:styleId="StyleParagraphedbutnumrationAvant0pt2">
    <w:name w:val="Style Paragraphe début énumération + Avant : 0 pt2"/>
    <w:basedOn w:val="Paragraphedbutnumration"/>
    <w:next w:val="standard"/>
    <w:pPr>
      <w:spacing w:before="0"/>
    </w:pPr>
  </w:style>
  <w:style w:type="paragraph" w:styleId="Tabledesillustrations">
    <w:name w:val="table of figures"/>
    <w:basedOn w:val="Normal"/>
    <w:next w:val="Normal"/>
    <w:pPr>
      <w:spacing w:before="60" w:after="60"/>
    </w:pPr>
  </w:style>
  <w:style w:type="paragraph" w:styleId="Tabledesrfrencesjuridiques">
    <w:name w:val="table of authorities"/>
    <w:basedOn w:val="Normal"/>
    <w:next w:val="Normal"/>
    <w:pPr>
      <w:ind w:left="240" w:hanging="240"/>
    </w:pPr>
  </w:style>
  <w:style w:type="table" w:styleId="Tableauliste1">
    <w:name w:val="Table List 1"/>
    <w:basedOn w:val="TableauNormal"/>
    <w:rPr>
      <w:rFonts w:ascii="Cambria" w:hAnsi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Pr>
      <w:rFonts w:ascii="Cambria" w:hAnsi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Pr>
      <w:rFonts w:ascii="Cambria" w:hAnsi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Pr>
      <w:rFonts w:ascii="Cambria" w:hAnsi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Pr>
      <w:rFonts w:ascii="Cambria" w:hAnsi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Pr>
      <w:rFonts w:ascii="Cambria" w:hAnsi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hmedutableau">
    <w:name w:val="Table Theme"/>
    <w:basedOn w:val="TableauNormal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_Tableau"/>
    <w:basedOn w:val="Normal"/>
    <w:pPr>
      <w:keepNext/>
      <w:keepLines/>
      <w:tabs>
        <w:tab w:val="center" w:pos="4253"/>
        <w:tab w:val="right" w:pos="8505"/>
      </w:tabs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b/>
      <w:color w:val="008000"/>
      <w:sz w:val="20"/>
      <w:szCs w:val="20"/>
    </w:rPr>
  </w:style>
  <w:style w:type="paragraph" w:customStyle="1" w:styleId="TitresParties">
    <w:name w:val="Titres_Parties"/>
    <w:basedOn w:val="Normal"/>
    <w:next w:val="standard"/>
    <w:pPr>
      <w:pageBreakBefore/>
      <w:spacing w:after="1080"/>
      <w:jc w:val="center"/>
    </w:pPr>
    <w:rPr>
      <w:b/>
      <w:caps/>
      <w:color w:val="008000"/>
      <w:spacing w:val="20"/>
      <w:sz w:val="32"/>
      <w:szCs w:val="20"/>
    </w:rPr>
  </w:style>
  <w:style w:type="character" w:styleId="VariableHTML">
    <w:name w:val="HTML Variable"/>
    <w:rPr>
      <w:rFonts w:ascii="Cambria" w:hAnsi="Cambria"/>
      <w:i/>
      <w:iCs/>
    </w:rPr>
  </w:style>
  <w:style w:type="table" w:styleId="Tableauweb1">
    <w:name w:val="Table Web 1"/>
    <w:basedOn w:val="TableauNormal"/>
    <w:rPr>
      <w:rFonts w:ascii="Cambria" w:hAnsi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Pr>
      <w:rFonts w:ascii="Cambria" w:hAnsi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Pr>
      <w:rFonts w:ascii="Cambria" w:hAnsi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-RapportAnnexe">
    <w:name w:val="Titre 1 - Rapport &amp; Annexe"/>
    <w:basedOn w:val="Titre1"/>
    <w:next w:val="standard"/>
    <w:qFormat/>
    <w:pPr>
      <w:numPr>
        <w:numId w:val="12"/>
      </w:numPr>
    </w:pPr>
    <w:rPr>
      <w:color w:val="008000"/>
      <w:sz w:val="26"/>
    </w:rPr>
  </w:style>
  <w:style w:type="paragraph" w:customStyle="1" w:styleId="Titre2-RapportAnnexe">
    <w:name w:val="Titre 2 - Rapport &amp; Annexe"/>
    <w:basedOn w:val="Titre1-RapportAnnexe"/>
    <w:next w:val="standard"/>
    <w:qFormat/>
    <w:pPr>
      <w:numPr>
        <w:ilvl w:val="1"/>
      </w:numPr>
      <w:tabs>
        <w:tab w:val="clear" w:pos="576"/>
        <w:tab w:val="num" w:pos="567"/>
      </w:tabs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qFormat/>
    <w:pPr>
      <w:numPr>
        <w:ilvl w:val="2"/>
      </w:numPr>
      <w:tabs>
        <w:tab w:val="clear" w:pos="720"/>
        <w:tab w:val="num" w:pos="709"/>
      </w:tabs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qFormat/>
    <w:pPr>
      <w:numPr>
        <w:ilvl w:val="3"/>
      </w:numPr>
      <w:tabs>
        <w:tab w:val="clear" w:pos="864"/>
        <w:tab w:val="num" w:pos="851"/>
      </w:tabs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qFormat/>
    <w:pPr>
      <w:numPr>
        <w:ilvl w:val="4"/>
      </w:numPr>
      <w:tabs>
        <w:tab w:val="clear" w:pos="1008"/>
        <w:tab w:val="num" w:pos="993"/>
      </w:tabs>
      <w:outlineLvl w:val="4"/>
    </w:pPr>
    <w:rPr>
      <w:b w:val="0"/>
    </w:rPr>
  </w:style>
  <w:style w:type="paragraph" w:customStyle="1" w:styleId="Titre6-RapportetAnnexe">
    <w:name w:val="Titre 6 - Rapport et Annexe"/>
    <w:basedOn w:val="Titre5-RapportetAnnexe"/>
    <w:qFormat/>
    <w:pPr>
      <w:numPr>
        <w:ilvl w:val="5"/>
      </w:numPr>
      <w:tabs>
        <w:tab w:val="clear" w:pos="1152"/>
        <w:tab w:val="num" w:pos="1134"/>
      </w:tabs>
      <w:outlineLvl w:val="5"/>
    </w:pPr>
  </w:style>
  <w:style w:type="paragraph" w:customStyle="1" w:styleId="Titre7-RapportAnnexe">
    <w:name w:val="Titre 7 - Rapport &amp; Annexe"/>
    <w:basedOn w:val="Titre6-RapportetAnnexe"/>
    <w:next w:val="standard"/>
    <w:pPr>
      <w:numPr>
        <w:ilvl w:val="6"/>
        <w:numId w:val="7"/>
      </w:numPr>
      <w:ind w:left="1298" w:hanging="1298"/>
      <w:outlineLvl w:val="6"/>
    </w:pPr>
  </w:style>
  <w:style w:type="paragraph" w:customStyle="1" w:styleId="Puces2-RapportAnnexes">
    <w:name w:val="Puces 2 - Rapport &amp; Annexes"/>
    <w:basedOn w:val="Puces1-RapportAnnexes"/>
    <w:pPr>
      <w:numPr>
        <w:ilvl w:val="1"/>
      </w:numPr>
    </w:pPr>
  </w:style>
  <w:style w:type="paragraph" w:customStyle="1" w:styleId="Puces3-RapportAnnexes">
    <w:name w:val="Puces 3 - Rapport &amp; Annexes"/>
    <w:basedOn w:val="Puces1-RapportAnnexes"/>
    <w:pPr>
      <w:numPr>
        <w:ilvl w:val="2"/>
      </w:numPr>
      <w:tabs>
        <w:tab w:val="clear" w:pos="1134"/>
        <w:tab w:val="num" w:pos="1701"/>
      </w:tabs>
    </w:pPr>
  </w:style>
  <w:style w:type="paragraph" w:styleId="TM4">
    <w:name w:val="toc 4"/>
    <w:basedOn w:val="Normal"/>
    <w:next w:val="Normal"/>
    <w:autoRedefine/>
    <w:uiPriority w:val="39"/>
    <w:pPr>
      <w:tabs>
        <w:tab w:val="left" w:pos="426"/>
        <w:tab w:val="left" w:pos="2410"/>
        <w:tab w:val="right" w:leader="dot" w:pos="9072"/>
      </w:tabs>
      <w:overflowPunct w:val="0"/>
      <w:autoSpaceDE w:val="0"/>
      <w:autoSpaceDN w:val="0"/>
      <w:adjustRightInd w:val="0"/>
      <w:ind w:left="2552" w:right="425" w:hanging="992"/>
      <w:textAlignment w:val="baseline"/>
    </w:pPr>
    <w:rPr>
      <w:i/>
      <w:noProof/>
    </w:rPr>
  </w:style>
  <w:style w:type="paragraph" w:styleId="TM5">
    <w:name w:val="toc 5"/>
    <w:basedOn w:val="TM4"/>
    <w:next w:val="Normal"/>
    <w:autoRedefine/>
    <w:uiPriority w:val="39"/>
    <w:pPr>
      <w:tabs>
        <w:tab w:val="clear" w:pos="426"/>
        <w:tab w:val="clear" w:pos="2410"/>
        <w:tab w:val="left" w:pos="851"/>
        <w:tab w:val="left" w:pos="3402"/>
      </w:tabs>
      <w:ind w:left="3544" w:hanging="1134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paragraph" w:customStyle="1" w:styleId="Titrecentr">
    <w:name w:val="Titre centré"/>
    <w:basedOn w:val="Titre"/>
    <w:rPr>
      <w:color w:val="auto"/>
    </w:rPr>
  </w:style>
  <w:style w:type="table" w:customStyle="1" w:styleId="Tableau-IGF">
    <w:name w:val="Tableau - IGF"/>
    <w:basedOn w:val="TableauNormal"/>
    <w:uiPriority w:val="99"/>
    <w:pPr>
      <w:keepNext/>
    </w:pPr>
    <w:rPr>
      <w:rFonts w:ascii="Cambria" w:hAnsi="Cambr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idowControl/>
        <w:wordWrap/>
        <w:spacing w:beforeLines="0" w:before="0" w:beforeAutospacing="0" w:afterLines="0" w:after="0" w:afterAutospacing="0"/>
        <w:jc w:val="center"/>
      </w:pPr>
      <w:rPr>
        <w:rFonts w:ascii="Cambria" w:hAnsi="Cambria"/>
        <w:b/>
        <w:color w:val="008000"/>
        <w:sz w:val="20"/>
      </w:rPr>
      <w:tblPr/>
      <w:tcPr>
        <w:tc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jc w:val="right"/>
      </w:pPr>
      <w:rPr>
        <w:rFonts w:ascii="Cambria" w:hAnsi="Cambria"/>
        <w:sz w:val="20"/>
      </w:r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="Cambria" w:hAnsi="Cambria"/>
        <w:sz w:val="20"/>
      </w:rPr>
      <w:tblPr/>
      <w:tcPr>
        <w:vAlign w:val="center"/>
      </w:tcPr>
    </w:tblStylePr>
    <w:tblStylePr w:type="band1Vert">
      <w:rPr>
        <w:rFonts w:ascii="Cambria" w:hAnsi="Cambria"/>
        <w:sz w:val="20"/>
      </w:rPr>
    </w:tblStylePr>
    <w:tblStylePr w:type="band2Vert">
      <w:rPr>
        <w:rFonts w:ascii="Cambria" w:hAnsi="Cambria"/>
        <w:sz w:val="20"/>
      </w:rPr>
    </w:tblStylePr>
    <w:tblStylePr w:type="band1Horz">
      <w:pPr>
        <w:wordWrap/>
        <w:spacing w:beforeLines="0" w:before="0" w:beforeAutospacing="0" w:afterLines="0" w:after="0" w:afterAutospacing="0"/>
        <w:jc w:val="right"/>
      </w:pPr>
      <w:rPr>
        <w:rFonts w:ascii="Cambria" w:hAnsi="Cambria"/>
        <w:sz w:val="20"/>
      </w:rPr>
    </w:tblStylePr>
    <w:tblStylePr w:type="band2Horz">
      <w:pPr>
        <w:wordWrap/>
        <w:spacing w:beforeLines="0" w:before="0" w:beforeAutospacing="0" w:afterLines="0" w:after="0" w:afterAutospacing="0"/>
        <w:jc w:val="right"/>
      </w:pPr>
      <w:rPr>
        <w:rFonts w:ascii="Cambria" w:hAnsi="Cambria"/>
        <w:sz w:val="20"/>
      </w:rPr>
    </w:tblStylePr>
    <w:tblStylePr w:type="swCell">
      <w:pPr>
        <w:jc w:val="left"/>
      </w:pPr>
      <w:tblPr/>
      <w:tcPr>
        <w:vAlign w:val="center"/>
      </w:tcPr>
    </w:tblStylePr>
  </w:style>
  <w:style w:type="paragraph" w:styleId="Date">
    <w:name w:val="Date"/>
    <w:basedOn w:val="Normal"/>
    <w:next w:val="Normal"/>
    <w:link w:val="DateCar"/>
  </w:style>
  <w:style w:type="character" w:customStyle="1" w:styleId="DateCar">
    <w:name w:val="Date Car"/>
    <w:basedOn w:val="Policepardfaut"/>
    <w:link w:val="Date"/>
    <w:rPr>
      <w:rFonts w:ascii="Cambria" w:hAnsi="Cambria"/>
      <w:sz w:val="22"/>
      <w:szCs w:val="24"/>
    </w:rPr>
  </w:style>
  <w:style w:type="table" w:customStyle="1" w:styleId="Style1">
    <w:name w:val="Style1"/>
    <w:basedOn w:val="Tableauprofessionnel"/>
    <w:uiPriority w:val="99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tableau">
    <w:name w:val="standard.tableau"/>
    <w:basedOn w:val="standard"/>
    <w:pPr>
      <w:keepLines w:val="0"/>
      <w:spacing w:before="0" w:after="0"/>
      <w:jc w:val="left"/>
    </w:pPr>
    <w:rPr>
      <w:color w:val="000000"/>
      <w:sz w:val="20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0C62-98B5-44E5-85C7-1ACD817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HAVARD Henri</dc:creator>
  <cp:keywords/>
  <dc:description/>
  <cp:lastModifiedBy>MARCHAU Sophie</cp:lastModifiedBy>
  <cp:revision>4</cp:revision>
  <dcterms:created xsi:type="dcterms:W3CDTF">2024-03-05T18:04:00Z</dcterms:created>
  <dcterms:modified xsi:type="dcterms:W3CDTF">2024-03-07T15:55:00Z</dcterms:modified>
</cp:coreProperties>
</file>