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659" w:type="dxa"/>
        <w:tblInd w:w="-10" w:type="dxa"/>
        <w:tblLayout w:type="fixed"/>
        <w:tblCellMar>
          <w:left w:w="70" w:type="dxa"/>
          <w:right w:w="70" w:type="dxa"/>
        </w:tblCellMar>
        <w:tblLook w:val="04A0" w:firstRow="1" w:lastRow="0" w:firstColumn="1" w:lastColumn="0" w:noHBand="0" w:noVBand="1"/>
      </w:tblPr>
      <w:tblGrid>
        <w:gridCol w:w="1418"/>
        <w:gridCol w:w="1368"/>
        <w:gridCol w:w="707"/>
        <w:gridCol w:w="1559"/>
        <w:gridCol w:w="1607"/>
      </w:tblGrid>
      <w:tr w:rsidR="00B33B54" w:rsidRPr="0075189C" w:rsidTr="00B33B54">
        <w:trPr>
          <w:trHeight w:val="1644"/>
        </w:trPr>
        <w:tc>
          <w:tcPr>
            <w:tcW w:w="1418" w:type="dxa"/>
            <w:tcBorders>
              <w:top w:val="single" w:sz="8" w:space="0" w:color="auto"/>
              <w:left w:val="single" w:sz="8" w:space="0" w:color="auto"/>
              <w:bottom w:val="single" w:sz="8" w:space="0" w:color="000000"/>
              <w:right w:val="single" w:sz="8" w:space="0" w:color="000000"/>
            </w:tcBorders>
            <w:shd w:val="clear" w:color="auto" w:fill="D0CECE" w:themeFill="background2" w:themeFillShade="E6"/>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Secteur</w:t>
            </w:r>
          </w:p>
        </w:tc>
        <w:tc>
          <w:tcPr>
            <w:tcW w:w="1368" w:type="dxa"/>
            <w:tcBorders>
              <w:top w:val="single" w:sz="8" w:space="0" w:color="auto"/>
              <w:left w:val="single" w:sz="8" w:space="0" w:color="000000"/>
              <w:bottom w:val="single" w:sz="8" w:space="0" w:color="000000"/>
              <w:right w:val="single" w:sz="8" w:space="0" w:color="000000"/>
            </w:tcBorders>
            <w:shd w:val="clear" w:color="auto" w:fill="D0CECE" w:themeFill="background2" w:themeFillShade="E6"/>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Typologie</w:t>
            </w:r>
          </w:p>
        </w:tc>
        <w:tc>
          <w:tcPr>
            <w:tcW w:w="707" w:type="dxa"/>
            <w:tcBorders>
              <w:top w:val="single" w:sz="8" w:space="0" w:color="auto"/>
              <w:left w:val="single" w:sz="8" w:space="0" w:color="000000"/>
              <w:bottom w:val="single" w:sz="8" w:space="0" w:color="000000"/>
              <w:right w:val="single" w:sz="8" w:space="0" w:color="000000"/>
            </w:tcBorders>
            <w:shd w:val="clear" w:color="auto" w:fill="D0CECE" w:themeFill="background2" w:themeFillShade="E6"/>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Accès marché</w:t>
            </w:r>
          </w:p>
        </w:tc>
        <w:tc>
          <w:tcPr>
            <w:tcW w:w="1559" w:type="dxa"/>
            <w:tcBorders>
              <w:top w:val="single" w:sz="8" w:space="0" w:color="auto"/>
              <w:left w:val="nil"/>
              <w:bottom w:val="single" w:sz="4" w:space="0" w:color="auto"/>
              <w:right w:val="single" w:sz="8" w:space="0" w:color="000000"/>
            </w:tcBorders>
            <w:shd w:val="clear" w:color="auto" w:fill="D0CECE" w:themeFill="background2" w:themeFillShade="E6"/>
            <w:vAlign w:val="center"/>
            <w:hideMark/>
          </w:tcPr>
          <w:p w:rsidR="00B33B54" w:rsidRPr="00C05F14" w:rsidRDefault="00B33B54" w:rsidP="00B33B54">
            <w:pPr>
              <w:spacing w:after="0" w:line="240" w:lineRule="auto"/>
              <w:jc w:val="center"/>
              <w:rPr>
                <w:rFonts w:ascii="Arial" w:eastAsia="Times New Roman" w:hAnsi="Arial" w:cs="Arial"/>
                <w:color w:val="000000"/>
                <w:sz w:val="16"/>
                <w:lang w:eastAsia="fr-FR"/>
              </w:rPr>
            </w:pPr>
            <w:r>
              <w:rPr>
                <w:rFonts w:ascii="Arial" w:eastAsia="Times New Roman" w:hAnsi="Arial" w:cs="Arial"/>
                <w:color w:val="000000"/>
                <w:sz w:val="16"/>
                <w:lang w:eastAsia="fr-FR"/>
              </w:rPr>
              <w:t xml:space="preserve"> Liste d’établissements</w:t>
            </w:r>
          </w:p>
        </w:tc>
        <w:tc>
          <w:tcPr>
            <w:tcW w:w="1607" w:type="dxa"/>
            <w:tcBorders>
              <w:top w:val="single" w:sz="8" w:space="0" w:color="auto"/>
              <w:left w:val="single" w:sz="8" w:space="0" w:color="000000"/>
              <w:bottom w:val="single" w:sz="8" w:space="0" w:color="000000"/>
              <w:right w:val="single" w:sz="8" w:space="0" w:color="000000"/>
            </w:tcBorders>
            <w:shd w:val="clear" w:color="auto" w:fill="D0CECE" w:themeFill="background2" w:themeFillShade="E6"/>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Observations</w:t>
            </w:r>
          </w:p>
        </w:tc>
      </w:tr>
      <w:tr w:rsidR="00B33B54" w:rsidRPr="0075189C" w:rsidTr="00B33B54">
        <w:trPr>
          <w:trHeight w:val="315"/>
        </w:trPr>
        <w:tc>
          <w:tcPr>
            <w:tcW w:w="1418" w:type="dxa"/>
            <w:vMerge w:val="restart"/>
            <w:tcBorders>
              <w:top w:val="nil"/>
              <w:left w:val="single" w:sz="8" w:space="0" w:color="auto"/>
              <w:bottom w:val="single" w:sz="8" w:space="0" w:color="000000"/>
              <w:right w:val="single" w:sz="8" w:space="0" w:color="000000"/>
            </w:tcBorders>
            <w:shd w:val="clear" w:color="auto" w:fill="auto"/>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Animaux vivants</w:t>
            </w: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Bovins </w:t>
            </w:r>
          </w:p>
        </w:tc>
        <w:tc>
          <w:tcPr>
            <w:tcW w:w="707" w:type="dxa"/>
            <w:tcBorders>
              <w:top w:val="nil"/>
              <w:left w:val="nil"/>
              <w:bottom w:val="single" w:sz="8" w:space="0" w:color="000000"/>
              <w:right w:val="single" w:sz="8" w:space="0" w:color="000000"/>
            </w:tcBorders>
            <w:shd w:val="clear" w:color="000000" w:fill="FF0000"/>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single" w:sz="4" w:space="0" w:color="auto"/>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1125"/>
        </w:trPr>
        <w:tc>
          <w:tcPr>
            <w:tcW w:w="1418" w:type="dxa"/>
            <w:vMerge/>
            <w:tcBorders>
              <w:top w:val="nil"/>
              <w:left w:val="single" w:sz="8" w:space="0" w:color="auto"/>
              <w:bottom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Porcins </w:t>
            </w:r>
          </w:p>
        </w:tc>
        <w:tc>
          <w:tcPr>
            <w:tcW w:w="707" w:type="dxa"/>
            <w:vMerge w:val="restart"/>
            <w:tcBorders>
              <w:top w:val="nil"/>
              <w:left w:val="single" w:sz="8" w:space="0" w:color="000000"/>
              <w:bottom w:val="single" w:sz="8" w:space="0" w:color="000000"/>
              <w:right w:val="single" w:sz="8" w:space="0" w:color="000000"/>
            </w:tcBorders>
            <w:shd w:val="clear" w:color="000000" w:fill="92D050"/>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nil"/>
              <w:left w:val="nil"/>
              <w:bottom w:val="nil"/>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CS intégrant le statut indemne de la FR </w:t>
            </w:r>
            <w:proofErr w:type="spellStart"/>
            <w:r w:rsidRPr="0075189C">
              <w:rPr>
                <w:rFonts w:ascii="Arial" w:eastAsia="Times New Roman" w:hAnsi="Arial" w:cs="Arial"/>
                <w:color w:val="000000"/>
                <w:sz w:val="16"/>
                <w:lang w:eastAsia="fr-FR"/>
              </w:rPr>
              <w:t>vis-àvis</w:t>
            </w:r>
            <w:proofErr w:type="spellEnd"/>
            <w:r w:rsidRPr="0075189C">
              <w:rPr>
                <w:rFonts w:ascii="Arial" w:eastAsia="Times New Roman" w:hAnsi="Arial" w:cs="Arial"/>
                <w:color w:val="000000"/>
                <w:sz w:val="16"/>
                <w:lang w:eastAsia="fr-FR"/>
              </w:rPr>
              <w:t xml:space="preserve"> de la PPC a </w:t>
            </w:r>
          </w:p>
        </w:tc>
      </w:tr>
      <w:tr w:rsidR="00B33B54" w:rsidRPr="0075189C" w:rsidTr="00B33B54">
        <w:trPr>
          <w:trHeight w:val="315"/>
        </w:trPr>
        <w:tc>
          <w:tcPr>
            <w:tcW w:w="1418" w:type="dxa"/>
            <w:vMerge/>
            <w:tcBorders>
              <w:top w:val="nil"/>
              <w:left w:val="single" w:sz="8" w:space="0" w:color="auto"/>
              <w:bottom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vMerge/>
            <w:tcBorders>
              <w:top w:val="nil"/>
              <w:left w:val="single" w:sz="8" w:space="0" w:color="000000"/>
              <w:bottom w:val="single" w:sz="8" w:space="0" w:color="000000"/>
              <w:right w:val="single" w:sz="8" w:space="0" w:color="000000"/>
            </w:tcBorders>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p>
        </w:tc>
        <w:tc>
          <w:tcPr>
            <w:tcW w:w="707" w:type="dxa"/>
            <w:vMerge/>
            <w:tcBorders>
              <w:top w:val="nil"/>
              <w:left w:val="single" w:sz="8" w:space="0" w:color="000000"/>
              <w:bottom w:val="single" w:sz="8" w:space="0" w:color="000000"/>
              <w:right w:val="single" w:sz="8" w:space="0" w:color="000000"/>
            </w:tcBorders>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p>
        </w:tc>
        <w:tc>
          <w:tcPr>
            <w:tcW w:w="1559" w:type="dxa"/>
            <w:vMerge/>
            <w:tcBorders>
              <w:top w:val="nil"/>
              <w:left w:val="single" w:sz="8" w:space="0" w:color="000000"/>
              <w:bottom w:val="single" w:sz="8" w:space="0" w:color="000000"/>
              <w:right w:val="single" w:sz="8" w:space="0" w:color="000000"/>
            </w:tcBorders>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finaliser </w:t>
            </w:r>
          </w:p>
        </w:tc>
      </w:tr>
      <w:tr w:rsidR="00B33B54" w:rsidRPr="0075189C" w:rsidTr="00B33B54">
        <w:trPr>
          <w:trHeight w:val="1030"/>
        </w:trPr>
        <w:tc>
          <w:tcPr>
            <w:tcW w:w="1418" w:type="dxa"/>
            <w:vMerge/>
            <w:tcBorders>
              <w:top w:val="nil"/>
              <w:left w:val="single" w:sz="8" w:space="0" w:color="auto"/>
              <w:bottom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Volaille </w:t>
            </w:r>
          </w:p>
        </w:tc>
        <w:tc>
          <w:tcPr>
            <w:tcW w:w="707" w:type="dxa"/>
            <w:tcBorders>
              <w:top w:val="nil"/>
              <w:left w:val="single" w:sz="8" w:space="0" w:color="000000"/>
              <w:bottom w:val="single" w:sz="8" w:space="0" w:color="000000"/>
              <w:right w:val="single" w:sz="8" w:space="0" w:color="000000"/>
            </w:tcBorders>
            <w:shd w:val="clear" w:color="000000" w:fill="92D050"/>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935"/>
        </w:trPr>
        <w:tc>
          <w:tcPr>
            <w:tcW w:w="1418" w:type="dxa"/>
            <w:vMerge/>
            <w:tcBorders>
              <w:top w:val="nil"/>
              <w:left w:val="single" w:sz="8" w:space="0" w:color="auto"/>
              <w:bottom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Oiseaux </w:t>
            </w:r>
          </w:p>
        </w:tc>
        <w:tc>
          <w:tcPr>
            <w:tcW w:w="707" w:type="dxa"/>
            <w:tcBorders>
              <w:top w:val="nil"/>
              <w:left w:val="single" w:sz="8" w:space="0" w:color="000000"/>
              <w:bottom w:val="single" w:sz="8" w:space="0" w:color="000000"/>
              <w:right w:val="single" w:sz="8" w:space="0" w:color="000000"/>
            </w:tcBorders>
            <w:shd w:val="clear" w:color="000000" w:fill="92D050"/>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nil"/>
              <w:left w:val="nil"/>
              <w:bottom w:val="single" w:sz="4" w:space="0" w:color="auto"/>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Ansériformes </w:t>
            </w:r>
          </w:p>
          <w:p w:rsidR="00B33B54" w:rsidRPr="0075189C" w:rsidRDefault="00B33B54" w:rsidP="0075189C">
            <w:pPr>
              <w:spacing w:after="0" w:line="240" w:lineRule="auto"/>
              <w:rPr>
                <w:rFonts w:ascii="Arial" w:eastAsia="Times New Roman" w:hAnsi="Arial" w:cs="Arial"/>
                <w:b/>
                <w:bCs/>
                <w:color w:val="000000"/>
                <w:sz w:val="16"/>
                <w:szCs w:val="16"/>
                <w:lang w:eastAsia="fr-FR"/>
              </w:rPr>
            </w:pPr>
            <w:r w:rsidRPr="0075189C">
              <w:rPr>
                <w:rFonts w:ascii="Arial" w:eastAsia="Times New Roman" w:hAnsi="Arial" w:cs="Arial"/>
                <w:b/>
                <w:bCs/>
                <w:color w:val="000000"/>
                <w:sz w:val="16"/>
                <w:lang w:eastAsia="fr-FR"/>
              </w:rPr>
              <w:t xml:space="preserve">Ouverture en </w:t>
            </w:r>
          </w:p>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b/>
                <w:bCs/>
                <w:color w:val="000000"/>
                <w:sz w:val="16"/>
                <w:lang w:eastAsia="fr-FR"/>
              </w:rPr>
              <w:t>2020</w:t>
            </w:r>
          </w:p>
        </w:tc>
      </w:tr>
      <w:tr w:rsidR="00B33B54" w:rsidRPr="0075189C" w:rsidTr="00B33B54">
        <w:trPr>
          <w:trHeight w:val="465"/>
        </w:trPr>
        <w:tc>
          <w:tcPr>
            <w:tcW w:w="1418" w:type="dxa"/>
            <w:vMerge/>
            <w:tcBorders>
              <w:top w:val="nil"/>
              <w:left w:val="single" w:sz="8" w:space="0" w:color="auto"/>
              <w:bottom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Equins </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single" w:sz="4" w:space="0" w:color="auto"/>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315"/>
        </w:trPr>
        <w:tc>
          <w:tcPr>
            <w:tcW w:w="1418" w:type="dxa"/>
            <w:vMerge/>
            <w:tcBorders>
              <w:top w:val="nil"/>
              <w:left w:val="single" w:sz="8" w:space="0" w:color="auto"/>
              <w:bottom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Lagomorphes </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1140"/>
        </w:trPr>
        <w:tc>
          <w:tcPr>
            <w:tcW w:w="1418" w:type="dxa"/>
            <w:vMerge/>
            <w:tcBorders>
              <w:top w:val="nil"/>
              <w:left w:val="single" w:sz="8" w:space="0" w:color="auto"/>
              <w:bottom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Tortues </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Pas de CS pour les tortues mais certificat CITES le cas échéant </w:t>
            </w:r>
          </w:p>
        </w:tc>
      </w:tr>
      <w:tr w:rsidR="00B33B54" w:rsidRPr="0075189C" w:rsidTr="00B33B54">
        <w:trPr>
          <w:trHeight w:val="315"/>
        </w:trPr>
        <w:tc>
          <w:tcPr>
            <w:tcW w:w="1418" w:type="dxa"/>
            <w:vMerge/>
            <w:tcBorders>
              <w:top w:val="nil"/>
              <w:left w:val="single" w:sz="8" w:space="0" w:color="auto"/>
              <w:bottom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nil"/>
              <w:bottom w:val="single" w:sz="8" w:space="0" w:color="auto"/>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Ratites </w:t>
            </w:r>
          </w:p>
        </w:tc>
        <w:tc>
          <w:tcPr>
            <w:tcW w:w="707" w:type="dxa"/>
            <w:tcBorders>
              <w:top w:val="nil"/>
              <w:left w:val="nil"/>
              <w:bottom w:val="single" w:sz="8" w:space="0" w:color="auto"/>
              <w:right w:val="single" w:sz="8" w:space="0" w:color="000000"/>
            </w:tcBorders>
            <w:shd w:val="clear" w:color="000000" w:fill="FFC000"/>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auto"/>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nil"/>
              <w:left w:val="nil"/>
              <w:bottom w:val="single" w:sz="8" w:space="0" w:color="auto"/>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805"/>
        </w:trPr>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Génétique animale</w:t>
            </w:r>
          </w:p>
        </w:tc>
        <w:tc>
          <w:tcPr>
            <w:tcW w:w="1368" w:type="dxa"/>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Ruminants </w:t>
            </w:r>
          </w:p>
        </w:tc>
        <w:tc>
          <w:tcPr>
            <w:tcW w:w="707" w:type="dxa"/>
            <w:tcBorders>
              <w:top w:val="nil"/>
              <w:left w:val="single" w:sz="8" w:space="0" w:color="000000"/>
              <w:bottom w:val="single" w:sz="8" w:space="0" w:color="000000"/>
              <w:right w:val="single" w:sz="8" w:space="0" w:color="000000"/>
            </w:tcBorders>
            <w:shd w:val="clear" w:color="000000" w:fill="92D050"/>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Embryons et semences </w:t>
            </w:r>
          </w:p>
        </w:tc>
      </w:tr>
      <w:tr w:rsidR="00B33B54" w:rsidRPr="0075189C" w:rsidTr="00B33B54">
        <w:trPr>
          <w:trHeight w:val="315"/>
        </w:trPr>
        <w:tc>
          <w:tcPr>
            <w:tcW w:w="1418" w:type="dxa"/>
            <w:vMerge/>
            <w:tcBorders>
              <w:top w:val="nil"/>
              <w:left w:val="single" w:sz="8" w:space="0" w:color="000000"/>
              <w:bottom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Porcins </w:t>
            </w:r>
          </w:p>
        </w:tc>
        <w:tc>
          <w:tcPr>
            <w:tcW w:w="707" w:type="dxa"/>
            <w:tcBorders>
              <w:top w:val="nil"/>
              <w:left w:val="nil"/>
              <w:bottom w:val="single" w:sz="8" w:space="0" w:color="000000"/>
              <w:right w:val="single" w:sz="8" w:space="0" w:color="000000"/>
            </w:tcBorders>
            <w:shd w:val="clear" w:color="000000" w:fill="FFC000"/>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1365"/>
        </w:trPr>
        <w:tc>
          <w:tcPr>
            <w:tcW w:w="1418" w:type="dxa"/>
            <w:vMerge/>
            <w:tcBorders>
              <w:top w:val="nil"/>
              <w:left w:val="single" w:sz="8" w:space="0" w:color="000000"/>
              <w:bottom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Volaille </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Poussins d'un jour :</w:t>
            </w:r>
            <w:r w:rsidRPr="0075189C">
              <w:rPr>
                <w:rFonts w:ascii="Arial" w:eastAsia="Times New Roman" w:hAnsi="Arial" w:cs="Arial"/>
                <w:b/>
                <w:bCs/>
                <w:color w:val="000000"/>
                <w:sz w:val="16"/>
                <w:szCs w:val="16"/>
                <w:lang w:eastAsia="fr-FR"/>
              </w:rPr>
              <w:t xml:space="preserve"> CS régionalisation IAHP finalisé en 2020</w:t>
            </w:r>
            <w:r w:rsidRPr="0075189C">
              <w:rPr>
                <w:rFonts w:ascii="Arial" w:eastAsia="Times New Roman" w:hAnsi="Arial" w:cs="Arial"/>
                <w:color w:val="000000"/>
                <w:sz w:val="16"/>
                <w:szCs w:val="16"/>
                <w:lang w:eastAsia="fr-FR"/>
              </w:rPr>
              <w:t xml:space="preserve"> </w:t>
            </w:r>
          </w:p>
        </w:tc>
      </w:tr>
      <w:tr w:rsidR="00B33B54" w:rsidRPr="0075189C" w:rsidTr="00B33B54">
        <w:trPr>
          <w:trHeight w:val="315"/>
        </w:trPr>
        <w:tc>
          <w:tcPr>
            <w:tcW w:w="1418" w:type="dxa"/>
            <w:vMerge/>
            <w:tcBorders>
              <w:top w:val="nil"/>
              <w:left w:val="single" w:sz="8" w:space="0" w:color="000000"/>
              <w:bottom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Equins </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Semences </w:t>
            </w:r>
          </w:p>
        </w:tc>
      </w:tr>
      <w:tr w:rsidR="00B33B54" w:rsidRPr="0075189C" w:rsidTr="00B33B54">
        <w:trPr>
          <w:trHeight w:val="1379"/>
        </w:trPr>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Alimentation animale/</w:t>
            </w:r>
            <w:proofErr w:type="spellStart"/>
            <w:r w:rsidRPr="0075189C">
              <w:rPr>
                <w:rFonts w:ascii="Arial" w:eastAsia="Times New Roman" w:hAnsi="Arial" w:cs="Arial"/>
                <w:color w:val="000000"/>
                <w:sz w:val="16"/>
                <w:lang w:eastAsia="fr-FR"/>
              </w:rPr>
              <w:t>sous produits</w:t>
            </w:r>
            <w:proofErr w:type="spellEnd"/>
          </w:p>
        </w:tc>
        <w:tc>
          <w:tcPr>
            <w:tcW w:w="1368" w:type="dxa"/>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proofErr w:type="spellStart"/>
            <w:r w:rsidRPr="0075189C">
              <w:rPr>
                <w:rFonts w:ascii="Arial" w:eastAsia="Times New Roman" w:hAnsi="Arial" w:cs="Arial"/>
                <w:color w:val="000000"/>
                <w:sz w:val="16"/>
                <w:lang w:eastAsia="fr-FR"/>
              </w:rPr>
              <w:t>Feed</w:t>
            </w:r>
            <w:proofErr w:type="spellEnd"/>
            <w:r w:rsidRPr="0075189C">
              <w:rPr>
                <w:rFonts w:ascii="Arial" w:eastAsia="Times New Roman" w:hAnsi="Arial" w:cs="Arial"/>
                <w:color w:val="000000"/>
                <w:sz w:val="16"/>
                <w:lang w:eastAsia="fr-FR"/>
              </w:rPr>
              <w:t xml:space="preserve"> </w:t>
            </w:r>
          </w:p>
        </w:tc>
        <w:tc>
          <w:tcPr>
            <w:tcW w:w="707" w:type="dxa"/>
            <w:tcBorders>
              <w:top w:val="nil"/>
              <w:left w:val="single" w:sz="8" w:space="0" w:color="000000"/>
              <w:bottom w:val="single" w:sz="8" w:space="0" w:color="000000"/>
              <w:right w:val="single" w:sz="8" w:space="0" w:color="000000"/>
            </w:tcBorders>
            <w:shd w:val="clear" w:color="000000" w:fill="92D050"/>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nil"/>
              <w:left w:val="nil"/>
              <w:bottom w:val="single" w:sz="4" w:space="0" w:color="auto"/>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Si produits laitiers dans les </w:t>
            </w:r>
          </w:p>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composants, </w:t>
            </w:r>
          </w:p>
          <w:p w:rsidR="00B33B54" w:rsidRPr="00C05F14" w:rsidRDefault="00B33B54" w:rsidP="0075189C">
            <w:pPr>
              <w:spacing w:after="0" w:line="240" w:lineRule="auto"/>
              <w:rPr>
                <w:rFonts w:ascii="Arial" w:eastAsia="Times New Roman" w:hAnsi="Arial" w:cs="Arial"/>
                <w:color w:val="000000"/>
                <w:sz w:val="16"/>
                <w:lang w:eastAsia="fr-FR"/>
              </w:rPr>
            </w:pPr>
            <w:r w:rsidRPr="0075189C">
              <w:rPr>
                <w:rFonts w:ascii="Arial" w:eastAsia="Times New Roman" w:hAnsi="Arial" w:cs="Arial"/>
                <w:color w:val="000000"/>
                <w:sz w:val="16"/>
                <w:lang w:eastAsia="fr-FR"/>
              </w:rPr>
              <w:t xml:space="preserve">utiliser le CS produits laitiers </w:t>
            </w:r>
          </w:p>
        </w:tc>
      </w:tr>
      <w:tr w:rsidR="00B33B54" w:rsidRPr="0075189C" w:rsidTr="00B33B54">
        <w:trPr>
          <w:trHeight w:val="1082"/>
        </w:trPr>
        <w:tc>
          <w:tcPr>
            <w:tcW w:w="1418" w:type="dxa"/>
            <w:vMerge/>
            <w:tcBorders>
              <w:top w:val="nil"/>
              <w:left w:val="single" w:sz="8" w:space="0" w:color="000000"/>
              <w:bottom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Pet </w:t>
            </w:r>
            <w:proofErr w:type="spellStart"/>
            <w:r w:rsidRPr="0075189C">
              <w:rPr>
                <w:rFonts w:ascii="Arial" w:eastAsia="Times New Roman" w:hAnsi="Arial" w:cs="Arial"/>
                <w:color w:val="000000"/>
                <w:sz w:val="16"/>
                <w:lang w:eastAsia="fr-FR"/>
              </w:rPr>
              <w:t>food</w:t>
            </w:r>
            <w:proofErr w:type="spellEnd"/>
            <w:r w:rsidRPr="0075189C">
              <w:rPr>
                <w:rFonts w:ascii="Arial" w:eastAsia="Times New Roman" w:hAnsi="Arial" w:cs="Arial"/>
                <w:color w:val="000000"/>
                <w:sz w:val="16"/>
                <w:lang w:eastAsia="fr-FR"/>
              </w:rPr>
              <w:t xml:space="preserve"> </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single" w:sz="4" w:space="0" w:color="auto"/>
              <w:left w:val="nil"/>
              <w:bottom w:val="single" w:sz="8" w:space="0" w:color="000000"/>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Se renseigner auprès de la quarantaine sur les conditions sanitaires d'importation </w:t>
            </w:r>
          </w:p>
        </w:tc>
      </w:tr>
      <w:tr w:rsidR="00B33B54" w:rsidRPr="0075189C" w:rsidTr="00B33B54">
        <w:trPr>
          <w:trHeight w:val="690"/>
        </w:trPr>
        <w:tc>
          <w:tcPr>
            <w:tcW w:w="1418" w:type="dxa"/>
            <w:vMerge/>
            <w:tcBorders>
              <w:top w:val="nil"/>
              <w:left w:val="single" w:sz="8" w:space="0" w:color="000000"/>
              <w:bottom w:val="single" w:sz="4" w:space="0" w:color="auto"/>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nil"/>
              <w:bottom w:val="single" w:sz="4" w:space="0" w:color="auto"/>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Technique  </w:t>
            </w:r>
          </w:p>
        </w:tc>
        <w:tc>
          <w:tcPr>
            <w:tcW w:w="707" w:type="dxa"/>
            <w:tcBorders>
              <w:top w:val="nil"/>
              <w:left w:val="nil"/>
              <w:bottom w:val="single" w:sz="4" w:space="0" w:color="auto"/>
              <w:right w:val="single" w:sz="8" w:space="0" w:color="000000"/>
            </w:tcBorders>
            <w:shd w:val="clear" w:color="000000" w:fill="92D050"/>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4" w:space="0" w:color="auto"/>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nil"/>
              <w:left w:val="nil"/>
              <w:bottom w:val="single" w:sz="4" w:space="0" w:color="auto"/>
              <w:right w:val="single" w:sz="8" w:space="0" w:color="000000"/>
            </w:tcBorders>
            <w:shd w:val="clear" w:color="auto" w:fill="auto"/>
            <w:vAlign w:val="center"/>
            <w:hideMark/>
          </w:tcPr>
          <w:p w:rsidR="00B33B54" w:rsidRPr="0075189C" w:rsidRDefault="00B33B54" w:rsidP="0075189C">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Rongeurs de laboratoire ; plumes </w:t>
            </w:r>
          </w:p>
        </w:tc>
      </w:tr>
      <w:tr w:rsidR="00B33B54" w:rsidRPr="0075189C" w:rsidTr="00B33B54">
        <w:trPr>
          <w:trHeight w:val="690"/>
        </w:trPr>
        <w:tc>
          <w:tcPr>
            <w:tcW w:w="1418" w:type="dxa"/>
            <w:tcBorders>
              <w:top w:val="single" w:sz="4" w:space="0" w:color="auto"/>
              <w:left w:val="single" w:sz="8" w:space="0" w:color="000000"/>
              <w:bottom w:val="single" w:sz="8" w:space="0" w:color="000000"/>
              <w:right w:val="single" w:sz="8" w:space="0" w:color="000000"/>
            </w:tcBorders>
            <w:shd w:val="clear" w:color="auto" w:fill="D0CECE" w:themeFill="background2" w:themeFillShade="E6"/>
            <w:vAlign w:val="center"/>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Secteur</w:t>
            </w:r>
          </w:p>
        </w:tc>
        <w:tc>
          <w:tcPr>
            <w:tcW w:w="1368" w:type="dxa"/>
            <w:tcBorders>
              <w:top w:val="single" w:sz="4" w:space="0" w:color="auto"/>
              <w:left w:val="nil"/>
              <w:bottom w:val="single" w:sz="8" w:space="0" w:color="000000"/>
              <w:right w:val="single" w:sz="8" w:space="0" w:color="000000"/>
            </w:tcBorders>
            <w:shd w:val="clear" w:color="auto" w:fill="D0CECE" w:themeFill="background2" w:themeFillShade="E6"/>
            <w:vAlign w:val="center"/>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Typologie</w:t>
            </w:r>
          </w:p>
        </w:tc>
        <w:tc>
          <w:tcPr>
            <w:tcW w:w="707" w:type="dxa"/>
            <w:tcBorders>
              <w:top w:val="single" w:sz="4" w:space="0" w:color="auto"/>
              <w:left w:val="nil"/>
              <w:bottom w:val="single" w:sz="8" w:space="0" w:color="000000"/>
              <w:right w:val="single" w:sz="8" w:space="0" w:color="000000"/>
            </w:tcBorders>
            <w:shd w:val="clear" w:color="auto" w:fill="D0CECE" w:themeFill="background2" w:themeFillShade="E6"/>
            <w:vAlign w:val="center"/>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Accès marché</w:t>
            </w:r>
          </w:p>
        </w:tc>
        <w:tc>
          <w:tcPr>
            <w:tcW w:w="1559" w:type="dxa"/>
            <w:tcBorders>
              <w:top w:val="single" w:sz="4" w:space="0" w:color="auto"/>
              <w:left w:val="nil"/>
              <w:bottom w:val="single" w:sz="8" w:space="0" w:color="000000"/>
              <w:right w:val="single" w:sz="8" w:space="0" w:color="000000"/>
            </w:tcBorders>
            <w:shd w:val="clear" w:color="auto" w:fill="D0CECE" w:themeFill="background2" w:themeFillShade="E6"/>
            <w:vAlign w:val="center"/>
          </w:tcPr>
          <w:p w:rsidR="00B33B54" w:rsidRPr="00C05F14" w:rsidRDefault="00AA01CE" w:rsidP="005F765E">
            <w:pPr>
              <w:spacing w:after="0" w:line="240" w:lineRule="auto"/>
              <w:jc w:val="center"/>
              <w:rPr>
                <w:rFonts w:ascii="Arial" w:eastAsia="Times New Roman" w:hAnsi="Arial" w:cs="Arial"/>
                <w:color w:val="000000"/>
                <w:sz w:val="16"/>
                <w:lang w:eastAsia="fr-FR"/>
              </w:rPr>
            </w:pPr>
            <w:r>
              <w:rPr>
                <w:rFonts w:ascii="Arial" w:eastAsia="Times New Roman" w:hAnsi="Arial" w:cs="Arial"/>
                <w:color w:val="000000"/>
                <w:sz w:val="16"/>
                <w:lang w:eastAsia="fr-FR"/>
              </w:rPr>
              <w:t xml:space="preserve">Liste </w:t>
            </w:r>
            <w:r w:rsidR="00B33B54">
              <w:rPr>
                <w:rFonts w:ascii="Arial" w:eastAsia="Times New Roman" w:hAnsi="Arial" w:cs="Arial"/>
                <w:color w:val="000000"/>
                <w:sz w:val="16"/>
                <w:lang w:eastAsia="fr-FR"/>
              </w:rPr>
              <w:t>d’établissements</w:t>
            </w:r>
          </w:p>
        </w:tc>
        <w:tc>
          <w:tcPr>
            <w:tcW w:w="1607" w:type="dxa"/>
            <w:tcBorders>
              <w:top w:val="single" w:sz="4" w:space="0" w:color="auto"/>
              <w:left w:val="nil"/>
              <w:bottom w:val="single" w:sz="8" w:space="0" w:color="000000"/>
              <w:right w:val="single" w:sz="8" w:space="0" w:color="000000"/>
            </w:tcBorders>
            <w:shd w:val="clear" w:color="auto" w:fill="D0CECE" w:themeFill="background2" w:themeFillShade="E6"/>
            <w:vAlign w:val="center"/>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Observations</w:t>
            </w:r>
          </w:p>
        </w:tc>
      </w:tr>
      <w:tr w:rsidR="00B33B54" w:rsidRPr="0075189C" w:rsidTr="00B33B54">
        <w:trPr>
          <w:trHeight w:val="566"/>
        </w:trPr>
        <w:tc>
          <w:tcPr>
            <w:tcW w:w="1418" w:type="dxa"/>
            <w:vMerge w:val="restart"/>
            <w:tcBorders>
              <w:top w:val="nil"/>
              <w:left w:val="single" w:sz="8" w:space="0" w:color="000000"/>
              <w:right w:val="single" w:sz="8" w:space="0" w:color="000000"/>
            </w:tcBorders>
            <w:shd w:val="clear" w:color="auto" w:fill="auto"/>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DAOA</w:t>
            </w:r>
          </w:p>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Lait et produit laitiers </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315"/>
        </w:trPr>
        <w:tc>
          <w:tcPr>
            <w:tcW w:w="1418" w:type="dxa"/>
            <w:vMerge/>
            <w:tcBorders>
              <w:left w:val="single" w:sz="8" w:space="0" w:color="000000"/>
              <w:right w:val="single" w:sz="8" w:space="0" w:color="000000"/>
            </w:tcBorders>
            <w:shd w:val="clear" w:color="auto" w:fill="auto"/>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Œufs et miel </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Miel </w:t>
            </w:r>
          </w:p>
        </w:tc>
      </w:tr>
      <w:tr w:rsidR="00B33B54" w:rsidRPr="0075189C" w:rsidTr="00B33B54">
        <w:trPr>
          <w:trHeight w:val="1350"/>
        </w:trPr>
        <w:tc>
          <w:tcPr>
            <w:tcW w:w="1418" w:type="dxa"/>
            <w:vMerge/>
            <w:tcBorders>
              <w:left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Viandes et PABV BV </w:t>
            </w:r>
          </w:p>
        </w:tc>
        <w:tc>
          <w:tcPr>
            <w:tcW w:w="707" w:type="dxa"/>
            <w:vMerge w:val="restart"/>
            <w:tcBorders>
              <w:top w:val="nil"/>
              <w:left w:val="single" w:sz="8" w:space="0" w:color="000000"/>
              <w:bottom w:val="single" w:sz="8" w:space="0" w:color="000000"/>
              <w:right w:val="single" w:sz="8" w:space="0" w:color="000000"/>
            </w:tcBorders>
            <w:shd w:val="clear" w:color="000000" w:fill="92D050"/>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oui </w:t>
            </w:r>
          </w:p>
        </w:tc>
        <w:tc>
          <w:tcPr>
            <w:tcW w:w="1607" w:type="dxa"/>
            <w:tcBorders>
              <w:top w:val="nil"/>
              <w:left w:val="nil"/>
              <w:bottom w:val="nil"/>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b/>
                <w:bCs/>
                <w:color w:val="000000"/>
                <w:sz w:val="16"/>
                <w:szCs w:val="16"/>
                <w:lang w:eastAsia="fr-FR"/>
              </w:rPr>
            </w:pPr>
            <w:r w:rsidRPr="0075189C">
              <w:rPr>
                <w:rFonts w:ascii="Arial" w:eastAsia="Times New Roman" w:hAnsi="Arial" w:cs="Arial"/>
                <w:b/>
                <w:bCs/>
                <w:color w:val="000000"/>
                <w:sz w:val="16"/>
                <w:lang w:eastAsia="fr-FR"/>
              </w:rPr>
              <w:t xml:space="preserve">Levée de toute restriction sur la viande et PABV bœuf en </w:t>
            </w:r>
          </w:p>
        </w:tc>
      </w:tr>
      <w:tr w:rsidR="00B33B54" w:rsidRPr="0075189C" w:rsidTr="00B33B54">
        <w:trPr>
          <w:trHeight w:val="315"/>
        </w:trPr>
        <w:tc>
          <w:tcPr>
            <w:tcW w:w="1418" w:type="dxa"/>
            <w:vMerge/>
            <w:tcBorders>
              <w:left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vMerge/>
            <w:tcBorders>
              <w:top w:val="nil"/>
              <w:left w:val="single" w:sz="8" w:space="0" w:color="000000"/>
              <w:bottom w:val="single" w:sz="8" w:space="0" w:color="000000"/>
              <w:right w:val="single" w:sz="8" w:space="0" w:color="000000"/>
            </w:tcBorders>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p>
        </w:tc>
        <w:tc>
          <w:tcPr>
            <w:tcW w:w="707" w:type="dxa"/>
            <w:vMerge/>
            <w:tcBorders>
              <w:top w:val="nil"/>
              <w:left w:val="single" w:sz="8" w:space="0" w:color="000000"/>
              <w:bottom w:val="single" w:sz="8" w:space="0" w:color="000000"/>
              <w:right w:val="single" w:sz="8" w:space="0" w:color="000000"/>
            </w:tcBorders>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p>
        </w:tc>
        <w:tc>
          <w:tcPr>
            <w:tcW w:w="1559" w:type="dxa"/>
            <w:vMerge/>
            <w:tcBorders>
              <w:top w:val="nil"/>
              <w:left w:val="single" w:sz="8" w:space="0" w:color="000000"/>
              <w:bottom w:val="single" w:sz="8" w:space="0" w:color="000000"/>
              <w:right w:val="single" w:sz="8" w:space="0" w:color="000000"/>
            </w:tcBorders>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b/>
                <w:bCs/>
                <w:color w:val="000000"/>
                <w:sz w:val="16"/>
                <w:szCs w:val="16"/>
                <w:lang w:eastAsia="fr-FR"/>
              </w:rPr>
            </w:pPr>
            <w:r w:rsidRPr="0075189C">
              <w:rPr>
                <w:rFonts w:ascii="Arial" w:eastAsia="Times New Roman" w:hAnsi="Arial" w:cs="Arial"/>
                <w:b/>
                <w:bCs/>
                <w:color w:val="000000"/>
                <w:sz w:val="16"/>
                <w:lang w:eastAsia="fr-FR"/>
              </w:rPr>
              <w:t>2020</w:t>
            </w:r>
          </w:p>
        </w:tc>
      </w:tr>
      <w:tr w:rsidR="00B33B54" w:rsidRPr="0075189C" w:rsidTr="00B33B54">
        <w:trPr>
          <w:trHeight w:val="465"/>
        </w:trPr>
        <w:tc>
          <w:tcPr>
            <w:tcW w:w="1418" w:type="dxa"/>
            <w:vMerge/>
            <w:tcBorders>
              <w:left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Viandes et PABV OV </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oui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465"/>
        </w:trPr>
        <w:tc>
          <w:tcPr>
            <w:tcW w:w="1418" w:type="dxa"/>
            <w:vMerge/>
            <w:tcBorders>
              <w:left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Viandes et PABV Porc </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oui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450"/>
        </w:trPr>
        <w:tc>
          <w:tcPr>
            <w:tcW w:w="1418" w:type="dxa"/>
            <w:vMerge/>
            <w:tcBorders>
              <w:left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nil"/>
              <w:left w:val="nil"/>
              <w:bottom w:val="nil"/>
              <w:right w:val="single" w:sz="8" w:space="0" w:color="000000"/>
            </w:tcBorders>
            <w:shd w:val="clear" w:color="auto" w:fill="auto"/>
            <w:vAlign w:val="center"/>
            <w:hideMark/>
          </w:tcPr>
          <w:p w:rsidR="00B33B54" w:rsidRPr="0075189C" w:rsidRDefault="00B33B54" w:rsidP="00C05F14">
            <w:pPr>
              <w:spacing w:after="0" w:line="240" w:lineRule="auto"/>
              <w:jc w:val="both"/>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Viandes et PABV </w:t>
            </w:r>
          </w:p>
        </w:tc>
        <w:tc>
          <w:tcPr>
            <w:tcW w:w="707" w:type="dxa"/>
            <w:vMerge w:val="restart"/>
            <w:tcBorders>
              <w:top w:val="nil"/>
              <w:left w:val="single" w:sz="8" w:space="0" w:color="000000"/>
              <w:bottom w:val="single" w:sz="8" w:space="0" w:color="000000"/>
              <w:right w:val="single" w:sz="8" w:space="0" w:color="000000"/>
            </w:tcBorders>
            <w:shd w:val="clear" w:color="000000" w:fill="92D050"/>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nil"/>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 tous </w:t>
            </w:r>
            <w:proofErr w:type="spellStart"/>
            <w:r w:rsidRPr="0075189C">
              <w:rPr>
                <w:rFonts w:ascii="Arial" w:eastAsia="Times New Roman" w:hAnsi="Arial" w:cs="Arial"/>
                <w:color w:val="000000"/>
                <w:sz w:val="16"/>
                <w:lang w:eastAsia="fr-FR"/>
              </w:rPr>
              <w:t>ets</w:t>
            </w:r>
            <w:proofErr w:type="spellEnd"/>
            <w:r w:rsidRPr="0075189C">
              <w:rPr>
                <w:rFonts w:ascii="Arial" w:eastAsia="Times New Roman" w:hAnsi="Arial" w:cs="Arial"/>
                <w:color w:val="000000"/>
                <w:sz w:val="16"/>
                <w:lang w:eastAsia="fr-FR"/>
              </w:rPr>
              <w:t xml:space="preserve"> </w:t>
            </w:r>
          </w:p>
        </w:tc>
        <w:tc>
          <w:tcPr>
            <w:tcW w:w="16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315"/>
        </w:trPr>
        <w:tc>
          <w:tcPr>
            <w:tcW w:w="1418" w:type="dxa"/>
            <w:vMerge/>
            <w:tcBorders>
              <w:left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Vol </w:t>
            </w:r>
          </w:p>
        </w:tc>
        <w:tc>
          <w:tcPr>
            <w:tcW w:w="707" w:type="dxa"/>
            <w:vMerge/>
            <w:tcBorders>
              <w:top w:val="nil"/>
              <w:left w:val="single" w:sz="8" w:space="0" w:color="000000"/>
              <w:bottom w:val="single" w:sz="8" w:space="0" w:color="000000"/>
              <w:right w:val="single" w:sz="8" w:space="0" w:color="000000"/>
            </w:tcBorders>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FR agréés UE </w:t>
            </w:r>
          </w:p>
        </w:tc>
        <w:tc>
          <w:tcPr>
            <w:tcW w:w="1607" w:type="dxa"/>
            <w:vMerge/>
            <w:tcBorders>
              <w:top w:val="nil"/>
              <w:left w:val="single" w:sz="8" w:space="0" w:color="000000"/>
              <w:bottom w:val="single" w:sz="8" w:space="0" w:color="000000"/>
              <w:right w:val="single" w:sz="8" w:space="0" w:color="000000"/>
            </w:tcBorders>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p>
        </w:tc>
      </w:tr>
      <w:tr w:rsidR="00B33B54" w:rsidRPr="0075189C" w:rsidTr="00B33B54">
        <w:trPr>
          <w:trHeight w:val="465"/>
        </w:trPr>
        <w:tc>
          <w:tcPr>
            <w:tcW w:w="1418" w:type="dxa"/>
            <w:vMerge/>
            <w:tcBorders>
              <w:left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PABV </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465"/>
        </w:trPr>
        <w:tc>
          <w:tcPr>
            <w:tcW w:w="1418" w:type="dxa"/>
            <w:vMerge/>
            <w:tcBorders>
              <w:left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PABV stérilisés </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PC et Vol </w:t>
            </w:r>
          </w:p>
        </w:tc>
      </w:tr>
      <w:tr w:rsidR="00B33B54" w:rsidRPr="0075189C" w:rsidTr="00B33B54">
        <w:trPr>
          <w:trHeight w:val="465"/>
        </w:trPr>
        <w:tc>
          <w:tcPr>
            <w:tcW w:w="1418" w:type="dxa"/>
            <w:vMerge/>
            <w:tcBorders>
              <w:left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Viandes et PABV lapins </w:t>
            </w:r>
          </w:p>
        </w:tc>
        <w:tc>
          <w:tcPr>
            <w:tcW w:w="707" w:type="dxa"/>
            <w:tcBorders>
              <w:top w:val="nil"/>
              <w:left w:val="nil"/>
              <w:bottom w:val="single" w:sz="8" w:space="0" w:color="000000"/>
              <w:right w:val="single" w:sz="8" w:space="0" w:color="000000"/>
            </w:tcBorders>
            <w:shd w:val="clear" w:color="000000" w:fill="FF0000"/>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465"/>
        </w:trPr>
        <w:tc>
          <w:tcPr>
            <w:tcW w:w="1418" w:type="dxa"/>
            <w:vMerge/>
            <w:tcBorders>
              <w:left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Viandes et PABV CV </w:t>
            </w:r>
          </w:p>
        </w:tc>
        <w:tc>
          <w:tcPr>
            <w:tcW w:w="707" w:type="dxa"/>
            <w:tcBorders>
              <w:top w:val="nil"/>
              <w:left w:val="nil"/>
              <w:bottom w:val="single" w:sz="8" w:space="0" w:color="000000"/>
              <w:right w:val="single" w:sz="8" w:space="0" w:color="000000"/>
            </w:tcBorders>
            <w:shd w:val="clear" w:color="000000" w:fill="FFC000"/>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1365"/>
        </w:trPr>
        <w:tc>
          <w:tcPr>
            <w:tcW w:w="1418" w:type="dxa"/>
            <w:vMerge/>
            <w:tcBorders>
              <w:left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Mollusques bivalves </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Huîtres destinées à la cuisson. Négociation en cours sur les huîtres crues </w:t>
            </w:r>
          </w:p>
        </w:tc>
      </w:tr>
      <w:tr w:rsidR="00B33B54" w:rsidRPr="0075189C" w:rsidTr="00B33B54">
        <w:trPr>
          <w:trHeight w:val="690"/>
        </w:trPr>
        <w:tc>
          <w:tcPr>
            <w:tcW w:w="1418" w:type="dxa"/>
            <w:vMerge/>
            <w:tcBorders>
              <w:left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Produits pêche et de l'aquaculture </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non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EC560 </w:t>
            </w:r>
          </w:p>
        </w:tc>
      </w:tr>
      <w:tr w:rsidR="00B33B54" w:rsidRPr="0075189C" w:rsidTr="00B33B54">
        <w:trPr>
          <w:trHeight w:val="1365"/>
        </w:trPr>
        <w:tc>
          <w:tcPr>
            <w:tcW w:w="1418" w:type="dxa"/>
            <w:vMerge/>
            <w:tcBorders>
              <w:left w:val="single" w:sz="8" w:space="0" w:color="000000"/>
              <w:bottom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Préparations et conserves à base de poisson et de produits de la pêche </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315"/>
        </w:trPr>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Génétique végétale</w:t>
            </w: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Semences </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1610"/>
        </w:trPr>
        <w:tc>
          <w:tcPr>
            <w:tcW w:w="1418" w:type="dxa"/>
            <w:vMerge/>
            <w:tcBorders>
              <w:top w:val="nil"/>
              <w:left w:val="single" w:sz="8" w:space="0" w:color="000000"/>
              <w:bottom w:val="single" w:sz="4" w:space="0" w:color="auto"/>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single" w:sz="8" w:space="0" w:color="000000"/>
              <w:bottom w:val="single" w:sz="4" w:space="0" w:color="auto"/>
              <w:right w:val="single" w:sz="8" w:space="0" w:color="000000"/>
            </w:tcBorders>
            <w:shd w:val="clear" w:color="auto" w:fill="auto"/>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Plants  </w:t>
            </w:r>
          </w:p>
        </w:tc>
        <w:tc>
          <w:tcPr>
            <w:tcW w:w="707" w:type="dxa"/>
            <w:tcBorders>
              <w:top w:val="nil"/>
              <w:left w:val="single" w:sz="8" w:space="0" w:color="000000"/>
              <w:bottom w:val="single" w:sz="4" w:space="0" w:color="auto"/>
              <w:right w:val="single" w:sz="8" w:space="0" w:color="000000"/>
            </w:tcBorders>
            <w:shd w:val="clear" w:color="auto" w:fill="FFC000"/>
            <w:vAlign w:val="center"/>
            <w:hideMark/>
          </w:tcPr>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4" w:space="0" w:color="auto"/>
              <w:right w:val="single" w:sz="8" w:space="0" w:color="000000"/>
            </w:tcBorders>
            <w:shd w:val="clear" w:color="auto" w:fill="auto"/>
            <w:vAlign w:val="center"/>
            <w:hideMark/>
          </w:tcPr>
          <w:p w:rsidR="00B33B54" w:rsidRDefault="00B33B54" w:rsidP="00C05F14">
            <w:pPr>
              <w:spacing w:after="0" w:line="240" w:lineRule="auto"/>
              <w:rPr>
                <w:rFonts w:ascii="Arial" w:eastAsia="Times New Roman" w:hAnsi="Arial" w:cs="Arial"/>
                <w:color w:val="000000"/>
                <w:sz w:val="16"/>
                <w:lang w:eastAsia="fr-FR"/>
              </w:rPr>
            </w:pPr>
          </w:p>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audit d'agrément </w:t>
            </w:r>
          </w:p>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préalable à chaque campagne </w:t>
            </w:r>
          </w:p>
          <w:p w:rsidR="00B33B54" w:rsidRPr="005F765E" w:rsidRDefault="00B33B54" w:rsidP="00C05F14">
            <w:pPr>
              <w:spacing w:after="0" w:line="240" w:lineRule="auto"/>
              <w:jc w:val="both"/>
              <w:rPr>
                <w:rFonts w:ascii="Arial" w:eastAsia="Times New Roman" w:hAnsi="Arial" w:cs="Arial"/>
                <w:color w:val="000000"/>
                <w:sz w:val="16"/>
                <w:lang w:eastAsia="fr-FR"/>
              </w:rPr>
            </w:pPr>
            <w:r w:rsidRPr="0075189C">
              <w:rPr>
                <w:rFonts w:ascii="Arial" w:eastAsia="Times New Roman" w:hAnsi="Arial" w:cs="Arial"/>
                <w:color w:val="000000"/>
                <w:sz w:val="16"/>
                <w:lang w:eastAsia="fr-FR"/>
              </w:rPr>
              <w:t xml:space="preserve">pour les bulbes de lys </w:t>
            </w:r>
          </w:p>
          <w:p w:rsidR="00B33B54" w:rsidRPr="0075189C" w:rsidRDefault="00B33B54" w:rsidP="00C05F14">
            <w:pPr>
              <w:spacing w:after="0" w:line="240" w:lineRule="auto"/>
              <w:jc w:val="both"/>
              <w:rPr>
                <w:rFonts w:ascii="Arial" w:eastAsia="Times New Roman" w:hAnsi="Arial" w:cs="Arial"/>
                <w:color w:val="000000"/>
                <w:sz w:val="16"/>
                <w:szCs w:val="16"/>
                <w:lang w:eastAsia="fr-FR"/>
              </w:rPr>
            </w:pPr>
          </w:p>
        </w:tc>
        <w:tc>
          <w:tcPr>
            <w:tcW w:w="1607" w:type="dxa"/>
            <w:tcBorders>
              <w:top w:val="nil"/>
              <w:left w:val="single" w:sz="8" w:space="0" w:color="000000"/>
              <w:bottom w:val="single" w:sz="4" w:space="0" w:color="auto"/>
              <w:right w:val="single" w:sz="8" w:space="0" w:color="000000"/>
            </w:tcBorders>
            <w:shd w:val="clear" w:color="auto" w:fill="auto"/>
            <w:vAlign w:val="center"/>
            <w:hideMark/>
          </w:tcPr>
          <w:p w:rsidR="00B33B54" w:rsidRDefault="00B33B54" w:rsidP="00C05F14">
            <w:pPr>
              <w:spacing w:after="0" w:line="240" w:lineRule="auto"/>
              <w:rPr>
                <w:rFonts w:ascii="Arial" w:eastAsia="Times New Roman" w:hAnsi="Arial" w:cs="Arial"/>
                <w:color w:val="000000"/>
                <w:sz w:val="16"/>
                <w:lang w:eastAsia="fr-FR"/>
              </w:rPr>
            </w:pPr>
            <w:r w:rsidRPr="0075189C">
              <w:rPr>
                <w:rFonts w:ascii="Arial" w:eastAsia="Times New Roman" w:hAnsi="Arial" w:cs="Arial"/>
                <w:color w:val="000000"/>
                <w:sz w:val="16"/>
                <w:lang w:eastAsia="fr-FR"/>
              </w:rPr>
              <w:t xml:space="preserve">Bulbes de lys et </w:t>
            </w:r>
          </w:p>
          <w:p w:rsidR="00B33B54" w:rsidRPr="0075189C" w:rsidRDefault="00B33B54" w:rsidP="00C05F14">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plants de vigne </w:t>
            </w:r>
          </w:p>
        </w:tc>
      </w:tr>
      <w:tr w:rsidR="00B33B54" w:rsidRPr="0075189C" w:rsidTr="00B33B54">
        <w:trPr>
          <w:trHeight w:val="1610"/>
        </w:trPr>
        <w:tc>
          <w:tcPr>
            <w:tcW w:w="1418" w:type="dxa"/>
            <w:tcBorders>
              <w:top w:val="single" w:sz="4" w:space="0" w:color="auto"/>
              <w:left w:val="single" w:sz="8" w:space="0" w:color="000000"/>
              <w:bottom w:val="single" w:sz="4" w:space="0" w:color="auto"/>
              <w:right w:val="single" w:sz="8" w:space="0" w:color="000000"/>
            </w:tcBorders>
            <w:shd w:val="clear" w:color="auto" w:fill="D0CECE" w:themeFill="background2" w:themeFillShade="E6"/>
            <w:vAlign w:val="center"/>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Secteur</w:t>
            </w:r>
          </w:p>
        </w:tc>
        <w:tc>
          <w:tcPr>
            <w:tcW w:w="1368" w:type="dxa"/>
            <w:tcBorders>
              <w:top w:val="single" w:sz="4" w:space="0" w:color="auto"/>
              <w:left w:val="single" w:sz="8" w:space="0" w:color="000000"/>
              <w:bottom w:val="single" w:sz="8" w:space="0" w:color="000000"/>
              <w:right w:val="single" w:sz="8" w:space="0" w:color="000000"/>
            </w:tcBorders>
            <w:shd w:val="clear" w:color="auto" w:fill="D0CECE" w:themeFill="background2" w:themeFillShade="E6"/>
            <w:vAlign w:val="center"/>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Typologie</w:t>
            </w:r>
          </w:p>
        </w:tc>
        <w:tc>
          <w:tcPr>
            <w:tcW w:w="707" w:type="dxa"/>
            <w:tcBorders>
              <w:top w:val="single" w:sz="4" w:space="0" w:color="auto"/>
              <w:left w:val="single" w:sz="8" w:space="0" w:color="000000"/>
              <w:bottom w:val="single" w:sz="8" w:space="0" w:color="000000"/>
              <w:right w:val="single" w:sz="8" w:space="0" w:color="000000"/>
            </w:tcBorders>
            <w:shd w:val="clear" w:color="auto" w:fill="D0CECE" w:themeFill="background2" w:themeFillShade="E6"/>
            <w:vAlign w:val="center"/>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Accès marché</w:t>
            </w:r>
          </w:p>
        </w:tc>
        <w:tc>
          <w:tcPr>
            <w:tcW w:w="1559" w:type="dxa"/>
            <w:tcBorders>
              <w:top w:val="single" w:sz="4" w:space="0" w:color="auto"/>
              <w:left w:val="nil"/>
              <w:bottom w:val="single" w:sz="4" w:space="0" w:color="auto"/>
              <w:right w:val="single" w:sz="8" w:space="0" w:color="000000"/>
            </w:tcBorders>
            <w:shd w:val="clear" w:color="auto" w:fill="D0CECE" w:themeFill="background2" w:themeFillShade="E6"/>
            <w:vAlign w:val="center"/>
          </w:tcPr>
          <w:p w:rsidR="00B33B54" w:rsidRPr="00C05F14" w:rsidRDefault="00AA01CE" w:rsidP="005F765E">
            <w:pPr>
              <w:spacing w:after="0" w:line="240" w:lineRule="auto"/>
              <w:jc w:val="center"/>
              <w:rPr>
                <w:rFonts w:ascii="Arial" w:eastAsia="Times New Roman" w:hAnsi="Arial" w:cs="Arial"/>
                <w:color w:val="000000"/>
                <w:sz w:val="16"/>
                <w:lang w:eastAsia="fr-FR"/>
              </w:rPr>
            </w:pPr>
            <w:r>
              <w:rPr>
                <w:rFonts w:ascii="Arial" w:eastAsia="Times New Roman" w:hAnsi="Arial" w:cs="Arial"/>
                <w:color w:val="000000"/>
                <w:sz w:val="16"/>
                <w:lang w:eastAsia="fr-FR"/>
              </w:rPr>
              <w:t>Liste d’établissements</w:t>
            </w:r>
          </w:p>
        </w:tc>
        <w:tc>
          <w:tcPr>
            <w:tcW w:w="1607" w:type="dxa"/>
            <w:tcBorders>
              <w:top w:val="single" w:sz="4" w:space="0" w:color="auto"/>
              <w:left w:val="single" w:sz="8" w:space="0" w:color="000000"/>
              <w:bottom w:val="single" w:sz="8" w:space="0" w:color="000000"/>
              <w:right w:val="single" w:sz="8" w:space="0" w:color="000000"/>
            </w:tcBorders>
            <w:shd w:val="clear" w:color="auto" w:fill="D0CECE" w:themeFill="background2" w:themeFillShade="E6"/>
            <w:vAlign w:val="center"/>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Observations</w:t>
            </w:r>
          </w:p>
        </w:tc>
      </w:tr>
      <w:tr w:rsidR="00B33B54" w:rsidRPr="0075189C" w:rsidTr="00B33B54">
        <w:trPr>
          <w:trHeight w:val="622"/>
        </w:trPr>
        <w:tc>
          <w:tcPr>
            <w:tcW w:w="1418" w:type="dxa"/>
            <w:vMerge w:val="restart"/>
            <w:tcBorders>
              <w:top w:val="single" w:sz="4" w:space="0" w:color="auto"/>
              <w:left w:val="single" w:sz="8" w:space="0" w:color="000000"/>
              <w:bottom w:val="single" w:sz="4" w:space="0" w:color="auto"/>
              <w:right w:val="single" w:sz="8" w:space="0" w:color="000000"/>
            </w:tcBorders>
            <w:shd w:val="clear" w:color="auto" w:fill="auto"/>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Végétaux</w:t>
            </w:r>
          </w:p>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Fruits</w:t>
            </w:r>
          </w:p>
        </w:tc>
        <w:tc>
          <w:tcPr>
            <w:tcW w:w="707" w:type="dxa"/>
            <w:tcBorders>
              <w:top w:val="nil"/>
              <w:left w:val="nil"/>
              <w:bottom w:val="single" w:sz="8" w:space="0" w:color="000000"/>
              <w:right w:val="single" w:sz="8" w:space="0" w:color="000000"/>
            </w:tcBorders>
            <w:shd w:val="clear" w:color="auto" w:fill="FF0000"/>
            <w:vAlign w:val="center"/>
            <w:hideMark/>
          </w:tcPr>
          <w:p w:rsidR="00B33B54" w:rsidRPr="006A4316" w:rsidRDefault="00B33B54" w:rsidP="005F765E">
            <w:pPr>
              <w:spacing w:after="0" w:line="240" w:lineRule="auto"/>
              <w:rPr>
                <w:rFonts w:ascii="Arial" w:eastAsia="Times New Roman" w:hAnsi="Arial" w:cs="Arial"/>
                <w:color w:val="FF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single" w:sz="4" w:space="0" w:color="auto"/>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711"/>
        </w:trPr>
        <w:tc>
          <w:tcPr>
            <w:tcW w:w="1418" w:type="dxa"/>
            <w:vMerge/>
            <w:tcBorders>
              <w:left w:val="single" w:sz="8" w:space="0" w:color="000000"/>
              <w:bottom w:val="single" w:sz="4" w:space="0" w:color="auto"/>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Légumes</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1215"/>
        </w:trPr>
        <w:tc>
          <w:tcPr>
            <w:tcW w:w="1418" w:type="dxa"/>
            <w:vMerge/>
            <w:tcBorders>
              <w:left w:val="single" w:sz="8" w:space="0" w:color="000000"/>
              <w:bottom w:val="single" w:sz="4" w:space="0" w:color="auto"/>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nil"/>
              <w:bottom w:val="single" w:sz="4" w:space="0" w:color="auto"/>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Préparations et conserves à base de pommes</w:t>
            </w:r>
          </w:p>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de terre</w:t>
            </w:r>
          </w:p>
        </w:tc>
        <w:tc>
          <w:tcPr>
            <w:tcW w:w="707" w:type="dxa"/>
            <w:tcBorders>
              <w:top w:val="nil"/>
              <w:left w:val="single" w:sz="8" w:space="0" w:color="000000"/>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1140"/>
        </w:trPr>
        <w:tc>
          <w:tcPr>
            <w:tcW w:w="1418" w:type="dxa"/>
            <w:vMerge/>
            <w:tcBorders>
              <w:left w:val="single" w:sz="8" w:space="0" w:color="000000"/>
              <w:bottom w:val="single" w:sz="4" w:space="0" w:color="auto"/>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single" w:sz="4" w:space="0" w:color="auto"/>
              <w:left w:val="nil"/>
              <w:bottom w:val="single" w:sz="4" w:space="0" w:color="auto"/>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Autres préparations et conserves à</w:t>
            </w:r>
          </w:p>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base de fruits et légumes</w:t>
            </w:r>
          </w:p>
        </w:tc>
        <w:tc>
          <w:tcPr>
            <w:tcW w:w="707" w:type="dxa"/>
            <w:tcBorders>
              <w:top w:val="nil"/>
              <w:left w:val="single" w:sz="8" w:space="0" w:color="000000"/>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1221"/>
        </w:trPr>
        <w:tc>
          <w:tcPr>
            <w:tcW w:w="1418" w:type="dxa"/>
            <w:vMerge/>
            <w:tcBorders>
              <w:left w:val="single" w:sz="8" w:space="0" w:color="000000"/>
              <w:bottom w:val="single" w:sz="4" w:space="0" w:color="auto"/>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single" w:sz="4" w:space="0" w:color="auto"/>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Pr>
                <w:rFonts w:ascii="Arial" w:eastAsia="Times New Roman" w:hAnsi="Arial" w:cs="Arial"/>
                <w:color w:val="000000"/>
                <w:sz w:val="16"/>
                <w:lang w:eastAsia="fr-FR"/>
              </w:rPr>
              <w:t xml:space="preserve">Cacao, </w:t>
            </w:r>
            <w:r w:rsidRPr="0075189C">
              <w:rPr>
                <w:rFonts w:ascii="Arial" w:eastAsia="Times New Roman" w:hAnsi="Arial" w:cs="Arial"/>
                <w:color w:val="000000"/>
                <w:sz w:val="16"/>
                <w:lang w:eastAsia="fr-FR"/>
              </w:rPr>
              <w:t>chocolat et produits de confiserie</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699"/>
        </w:trPr>
        <w:tc>
          <w:tcPr>
            <w:tcW w:w="1418" w:type="dxa"/>
            <w:vMerge/>
            <w:tcBorders>
              <w:left w:val="single" w:sz="8" w:space="0" w:color="000000"/>
              <w:bottom w:val="single" w:sz="4" w:space="0" w:color="auto"/>
              <w:right w:val="single" w:sz="8" w:space="0" w:color="000000"/>
            </w:tcBorders>
            <w:shd w:val="clear" w:color="auto" w:fill="auto"/>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Café et thé transformés</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695"/>
        </w:trPr>
        <w:tc>
          <w:tcPr>
            <w:tcW w:w="1418" w:type="dxa"/>
            <w:vMerge/>
            <w:tcBorders>
              <w:left w:val="single" w:sz="8" w:space="0" w:color="000000"/>
              <w:bottom w:val="single" w:sz="4" w:space="0" w:color="auto"/>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Sucre</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1253"/>
        </w:trPr>
        <w:tc>
          <w:tcPr>
            <w:tcW w:w="1418" w:type="dxa"/>
            <w:vMerge/>
            <w:tcBorders>
              <w:left w:val="single" w:sz="8" w:space="0" w:color="000000"/>
              <w:bottom w:val="single" w:sz="4" w:space="0" w:color="auto"/>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nil"/>
              <w:left w:val="nil"/>
              <w:bottom w:val="single" w:sz="4" w:space="0" w:color="auto"/>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Céréales </w:t>
            </w:r>
            <w:r>
              <w:rPr>
                <w:rFonts w:ascii="Arial" w:eastAsia="Times New Roman" w:hAnsi="Arial" w:cs="Arial"/>
                <w:color w:val="000000"/>
                <w:sz w:val="16"/>
                <w:lang w:eastAsia="fr-FR"/>
              </w:rPr>
              <w:br/>
            </w:r>
            <w:r w:rsidRPr="0075189C">
              <w:rPr>
                <w:rFonts w:ascii="Arial" w:eastAsia="Times New Roman" w:hAnsi="Arial" w:cs="Arial"/>
                <w:color w:val="000000"/>
                <w:sz w:val="16"/>
                <w:lang w:eastAsia="fr-FR"/>
              </w:rPr>
              <w:t>(sauf</w:t>
            </w:r>
            <w:r>
              <w:rPr>
                <w:rFonts w:ascii="Arial" w:eastAsia="Times New Roman" w:hAnsi="Arial" w:cs="Arial"/>
                <w:color w:val="000000"/>
                <w:sz w:val="16"/>
                <w:szCs w:val="16"/>
                <w:lang w:eastAsia="fr-FR"/>
              </w:rPr>
              <w:t xml:space="preserve"> </w:t>
            </w:r>
            <w:r w:rsidRPr="0075189C">
              <w:rPr>
                <w:rFonts w:ascii="Arial" w:eastAsia="Times New Roman" w:hAnsi="Arial" w:cs="Arial"/>
                <w:color w:val="000000"/>
                <w:sz w:val="16"/>
                <w:lang w:eastAsia="fr-FR"/>
              </w:rPr>
              <w:t>riz),</w:t>
            </w:r>
          </w:p>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protéagineux,  et oléagineux</w:t>
            </w:r>
          </w:p>
        </w:tc>
        <w:tc>
          <w:tcPr>
            <w:tcW w:w="707" w:type="dxa"/>
            <w:tcBorders>
              <w:top w:val="nil"/>
              <w:left w:val="single" w:sz="8" w:space="0" w:color="000000"/>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995"/>
        </w:trPr>
        <w:tc>
          <w:tcPr>
            <w:tcW w:w="1418" w:type="dxa"/>
            <w:vMerge/>
            <w:tcBorders>
              <w:left w:val="single" w:sz="8" w:space="0" w:color="000000"/>
              <w:bottom w:val="single" w:sz="4" w:space="0" w:color="auto"/>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single" w:sz="4" w:space="0" w:color="auto"/>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Huiles et graisses</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981"/>
        </w:trPr>
        <w:tc>
          <w:tcPr>
            <w:tcW w:w="1418" w:type="dxa"/>
            <w:vMerge/>
            <w:tcBorders>
              <w:left w:val="single" w:sz="8" w:space="0" w:color="000000"/>
              <w:bottom w:val="single" w:sz="4" w:space="0" w:color="auto"/>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Malt</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1365"/>
        </w:trPr>
        <w:tc>
          <w:tcPr>
            <w:tcW w:w="1418" w:type="dxa"/>
            <w:vMerge/>
            <w:tcBorders>
              <w:left w:val="single" w:sz="8" w:space="0" w:color="000000"/>
              <w:bottom w:val="single" w:sz="4" w:space="0" w:color="auto"/>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Plantes à épices, aromatiques, médicinales et pharmaceutiques</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978"/>
        </w:trPr>
        <w:tc>
          <w:tcPr>
            <w:tcW w:w="1418" w:type="dxa"/>
            <w:vMerge/>
            <w:tcBorders>
              <w:left w:val="single" w:sz="8" w:space="0" w:color="000000"/>
              <w:bottom w:val="single" w:sz="4" w:space="0" w:color="auto"/>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20"/>
                <w:szCs w:val="20"/>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Huiles essentielles</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315"/>
        </w:trPr>
        <w:tc>
          <w:tcPr>
            <w:tcW w:w="1418" w:type="dxa"/>
            <w:tcBorders>
              <w:top w:val="single" w:sz="4" w:space="0" w:color="auto"/>
              <w:left w:val="single" w:sz="8" w:space="0" w:color="000000"/>
              <w:bottom w:val="single" w:sz="8" w:space="0" w:color="000000"/>
              <w:right w:val="single" w:sz="8" w:space="0" w:color="000000"/>
            </w:tcBorders>
            <w:shd w:val="clear" w:color="auto" w:fill="D0CECE" w:themeFill="background2" w:themeFillShade="E6"/>
            <w:vAlign w:val="center"/>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Secteur</w:t>
            </w:r>
          </w:p>
        </w:tc>
        <w:tc>
          <w:tcPr>
            <w:tcW w:w="1368" w:type="dxa"/>
            <w:tcBorders>
              <w:top w:val="single" w:sz="4" w:space="0" w:color="auto"/>
              <w:left w:val="nil"/>
              <w:bottom w:val="single" w:sz="8" w:space="0" w:color="000000"/>
              <w:right w:val="single" w:sz="8" w:space="0" w:color="000000"/>
            </w:tcBorders>
            <w:shd w:val="clear" w:color="auto" w:fill="D0CECE" w:themeFill="background2" w:themeFillShade="E6"/>
            <w:vAlign w:val="center"/>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Typologie</w:t>
            </w:r>
          </w:p>
        </w:tc>
        <w:tc>
          <w:tcPr>
            <w:tcW w:w="707" w:type="dxa"/>
            <w:tcBorders>
              <w:top w:val="single" w:sz="4" w:space="0" w:color="auto"/>
              <w:left w:val="nil"/>
              <w:bottom w:val="single" w:sz="8" w:space="0" w:color="000000"/>
              <w:right w:val="single" w:sz="8" w:space="0" w:color="000000"/>
            </w:tcBorders>
            <w:shd w:val="clear" w:color="auto" w:fill="D0CECE" w:themeFill="background2" w:themeFillShade="E6"/>
            <w:vAlign w:val="center"/>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Accès marché</w:t>
            </w:r>
          </w:p>
        </w:tc>
        <w:tc>
          <w:tcPr>
            <w:tcW w:w="1559" w:type="dxa"/>
            <w:tcBorders>
              <w:top w:val="single" w:sz="4" w:space="0" w:color="auto"/>
              <w:left w:val="nil"/>
              <w:bottom w:val="single" w:sz="8" w:space="0" w:color="000000"/>
              <w:right w:val="single" w:sz="8" w:space="0" w:color="000000"/>
            </w:tcBorders>
            <w:shd w:val="clear" w:color="auto" w:fill="D0CECE" w:themeFill="background2" w:themeFillShade="E6"/>
            <w:vAlign w:val="center"/>
          </w:tcPr>
          <w:p w:rsidR="00B33B54" w:rsidRPr="00C05F14" w:rsidRDefault="00AA01CE" w:rsidP="005F765E">
            <w:pPr>
              <w:spacing w:after="0" w:line="240" w:lineRule="auto"/>
              <w:jc w:val="center"/>
              <w:rPr>
                <w:rFonts w:ascii="Arial" w:eastAsia="Times New Roman" w:hAnsi="Arial" w:cs="Arial"/>
                <w:color w:val="000000"/>
                <w:sz w:val="16"/>
                <w:lang w:eastAsia="fr-FR"/>
              </w:rPr>
            </w:pPr>
            <w:r>
              <w:rPr>
                <w:rFonts w:ascii="Arial" w:eastAsia="Times New Roman" w:hAnsi="Arial" w:cs="Arial"/>
                <w:color w:val="000000"/>
                <w:sz w:val="16"/>
                <w:lang w:eastAsia="fr-FR"/>
              </w:rPr>
              <w:t>Liste d’établissements</w:t>
            </w:r>
          </w:p>
        </w:tc>
        <w:tc>
          <w:tcPr>
            <w:tcW w:w="1607" w:type="dxa"/>
            <w:tcBorders>
              <w:top w:val="single" w:sz="4" w:space="0" w:color="auto"/>
              <w:left w:val="nil"/>
              <w:bottom w:val="single" w:sz="8" w:space="0" w:color="000000"/>
              <w:right w:val="single" w:sz="8" w:space="0" w:color="000000"/>
            </w:tcBorders>
            <w:shd w:val="clear" w:color="auto" w:fill="D0CECE" w:themeFill="background2" w:themeFillShade="E6"/>
            <w:vAlign w:val="center"/>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Observations</w:t>
            </w:r>
          </w:p>
        </w:tc>
      </w:tr>
      <w:tr w:rsidR="00B33B54" w:rsidRPr="0075189C" w:rsidTr="00B33B54">
        <w:trPr>
          <w:trHeight w:val="465"/>
        </w:trPr>
        <w:tc>
          <w:tcPr>
            <w:tcW w:w="1418" w:type="dxa"/>
            <w:tcBorders>
              <w:left w:val="single" w:sz="8" w:space="0" w:color="000000"/>
              <w:bottom w:val="nil"/>
              <w:right w:val="single" w:sz="8" w:space="0" w:color="000000"/>
            </w:tcBorders>
            <w:shd w:val="clear" w:color="auto" w:fill="auto"/>
            <w:vAlign w:val="center"/>
            <w:hideMark/>
          </w:tcPr>
          <w:p w:rsidR="00B33B54" w:rsidRPr="0075189C" w:rsidRDefault="00B33B54" w:rsidP="00792871">
            <w:pPr>
              <w:spacing w:after="0" w:line="240" w:lineRule="auto"/>
              <w:jc w:val="center"/>
              <w:rPr>
                <w:rFonts w:ascii="Calibri" w:eastAsia="Times New Roman" w:hAnsi="Calibri" w:cs="Calibri"/>
                <w:color w:val="000000"/>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Engrais</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465"/>
        </w:trPr>
        <w:tc>
          <w:tcPr>
            <w:tcW w:w="1418" w:type="dxa"/>
            <w:tcBorders>
              <w:top w:val="nil"/>
              <w:left w:val="single" w:sz="8" w:space="0" w:color="000000"/>
              <w:bottom w:val="single" w:sz="4" w:space="0" w:color="auto"/>
              <w:right w:val="single" w:sz="8" w:space="0" w:color="000000"/>
            </w:tcBorders>
            <w:shd w:val="clear" w:color="auto" w:fill="auto"/>
            <w:vAlign w:val="center"/>
            <w:hideMark/>
          </w:tcPr>
          <w:p w:rsidR="00B33B54" w:rsidRDefault="00B33B54" w:rsidP="006A4316">
            <w:pPr>
              <w:spacing w:after="0" w:line="240" w:lineRule="auto"/>
              <w:jc w:val="center"/>
              <w:rPr>
                <w:rFonts w:ascii="Arial" w:eastAsia="Times New Roman" w:hAnsi="Arial" w:cs="Arial"/>
                <w:color w:val="000000"/>
                <w:sz w:val="16"/>
                <w:lang w:eastAsia="fr-FR"/>
              </w:rPr>
            </w:pPr>
            <w:r w:rsidRPr="0075189C">
              <w:rPr>
                <w:rFonts w:ascii="Arial" w:eastAsia="Times New Roman" w:hAnsi="Arial" w:cs="Arial"/>
                <w:color w:val="000000"/>
                <w:sz w:val="16"/>
                <w:lang w:eastAsia="fr-FR"/>
              </w:rPr>
              <w:t>Agroéquipement et agrofourniture</w:t>
            </w:r>
          </w:p>
          <w:p w:rsidR="00B33B54" w:rsidRPr="0075189C" w:rsidRDefault="00B33B54" w:rsidP="006A4316">
            <w:pPr>
              <w:spacing w:after="0" w:line="240" w:lineRule="auto"/>
              <w:jc w:val="center"/>
              <w:rPr>
                <w:rFonts w:ascii="Arial" w:eastAsia="Times New Roman" w:hAnsi="Arial" w:cs="Arial"/>
                <w:color w:val="000000"/>
                <w:sz w:val="16"/>
                <w:szCs w:val="16"/>
                <w:lang w:eastAsia="fr-FR"/>
              </w:rPr>
            </w:pPr>
          </w:p>
          <w:p w:rsidR="00B33B54" w:rsidRPr="0075189C" w:rsidRDefault="00B33B54" w:rsidP="006A4316">
            <w:pPr>
              <w:spacing w:after="0" w:line="240" w:lineRule="auto"/>
              <w:jc w:val="center"/>
              <w:rPr>
                <w:rFonts w:ascii="Calibri" w:eastAsia="Times New Roman" w:hAnsi="Calibri" w:cs="Calibri"/>
                <w:color w:val="000000"/>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Equipement IAA</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465"/>
        </w:trPr>
        <w:tc>
          <w:tcPr>
            <w:tcW w:w="1418"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Boissons</w:t>
            </w: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Vins de raisin</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465"/>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Cidre et autres vins de fruits</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690"/>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Boissons alcoolisées distillés</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465"/>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Bière</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465"/>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Jus (fruits, légumes)</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690"/>
        </w:trPr>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B33B54" w:rsidRPr="0075189C" w:rsidRDefault="00B33B54" w:rsidP="00792871">
            <w:pPr>
              <w:spacing w:after="0" w:line="240" w:lineRule="auto"/>
              <w:jc w:val="center"/>
              <w:rPr>
                <w:rFonts w:ascii="Arial" w:eastAsia="Times New Roman" w:hAnsi="Arial" w:cs="Arial"/>
                <w:color w:val="000000"/>
                <w:sz w:val="16"/>
                <w:szCs w:val="16"/>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Autres boissons non alcoolisées</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915"/>
        </w:trPr>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33B54" w:rsidRPr="00792871" w:rsidRDefault="00B33B54" w:rsidP="00792871">
            <w:pPr>
              <w:spacing w:after="0" w:line="240" w:lineRule="auto"/>
              <w:jc w:val="center"/>
              <w:rPr>
                <w:rFonts w:ascii="Arial" w:eastAsia="Times New Roman" w:hAnsi="Arial" w:cs="Arial"/>
                <w:color w:val="00B050"/>
                <w:sz w:val="16"/>
                <w:szCs w:val="16"/>
                <w:lang w:eastAsia="fr-FR"/>
              </w:rPr>
            </w:pPr>
            <w:r w:rsidRPr="00792871">
              <w:rPr>
                <w:rFonts w:ascii="Arial" w:eastAsia="Times New Roman" w:hAnsi="Arial" w:cs="Arial"/>
                <w:color w:val="000000" w:themeColor="text1"/>
                <w:sz w:val="16"/>
                <w:lang w:eastAsia="fr-FR"/>
              </w:rPr>
              <w:t>Produits de boulangerie</w:t>
            </w: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Biscottes et biscuits ; pâtisseries de conservation</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r w:rsidR="00B33B54" w:rsidRPr="0075189C" w:rsidTr="00B33B54">
        <w:trPr>
          <w:trHeight w:val="915"/>
        </w:trPr>
        <w:tc>
          <w:tcPr>
            <w:tcW w:w="1418" w:type="dxa"/>
            <w:vMerge/>
            <w:tcBorders>
              <w:top w:val="nil"/>
              <w:left w:val="single" w:sz="8" w:space="0" w:color="000000"/>
              <w:bottom w:val="single" w:sz="8" w:space="0" w:color="000000"/>
              <w:right w:val="single" w:sz="8" w:space="0" w:color="000000"/>
            </w:tcBorders>
            <w:vAlign w:val="center"/>
            <w:hideMark/>
          </w:tcPr>
          <w:p w:rsidR="00B33B54" w:rsidRPr="00792871" w:rsidRDefault="00B33B54" w:rsidP="00792871">
            <w:pPr>
              <w:spacing w:after="0" w:line="240" w:lineRule="auto"/>
              <w:jc w:val="center"/>
              <w:rPr>
                <w:rFonts w:ascii="Arial" w:eastAsia="Times New Roman" w:hAnsi="Arial" w:cs="Arial"/>
                <w:color w:val="00B050"/>
                <w:sz w:val="16"/>
                <w:szCs w:val="16"/>
                <w:lang w:eastAsia="fr-FR"/>
              </w:rPr>
            </w:pPr>
          </w:p>
        </w:tc>
        <w:tc>
          <w:tcPr>
            <w:tcW w:w="1368"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jc w:val="center"/>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Pain ; pâtisseries et viennoiseries fraîches</w:t>
            </w:r>
          </w:p>
        </w:tc>
        <w:tc>
          <w:tcPr>
            <w:tcW w:w="707" w:type="dxa"/>
            <w:tcBorders>
              <w:top w:val="nil"/>
              <w:left w:val="nil"/>
              <w:bottom w:val="single" w:sz="8" w:space="0" w:color="000000"/>
              <w:right w:val="single" w:sz="8" w:space="0" w:color="000000"/>
            </w:tcBorders>
            <w:shd w:val="clear" w:color="000000" w:fill="92D050"/>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559"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c>
          <w:tcPr>
            <w:tcW w:w="1607" w:type="dxa"/>
            <w:tcBorders>
              <w:top w:val="nil"/>
              <w:left w:val="nil"/>
              <w:bottom w:val="single" w:sz="8" w:space="0" w:color="000000"/>
              <w:right w:val="single" w:sz="8" w:space="0" w:color="000000"/>
            </w:tcBorders>
            <w:shd w:val="clear" w:color="auto" w:fill="auto"/>
            <w:vAlign w:val="center"/>
            <w:hideMark/>
          </w:tcPr>
          <w:p w:rsidR="00B33B54" w:rsidRPr="0075189C" w:rsidRDefault="00B33B54" w:rsidP="005F765E">
            <w:pPr>
              <w:spacing w:after="0" w:line="240" w:lineRule="auto"/>
              <w:rPr>
                <w:rFonts w:ascii="Arial" w:eastAsia="Times New Roman" w:hAnsi="Arial" w:cs="Arial"/>
                <w:color w:val="000000"/>
                <w:sz w:val="16"/>
                <w:szCs w:val="16"/>
                <w:lang w:eastAsia="fr-FR"/>
              </w:rPr>
            </w:pPr>
            <w:r w:rsidRPr="0075189C">
              <w:rPr>
                <w:rFonts w:ascii="Arial" w:eastAsia="Times New Roman" w:hAnsi="Arial" w:cs="Arial"/>
                <w:color w:val="000000"/>
                <w:sz w:val="16"/>
                <w:lang w:eastAsia="fr-FR"/>
              </w:rPr>
              <w:t xml:space="preserve">  </w:t>
            </w:r>
          </w:p>
        </w:tc>
      </w:tr>
    </w:tbl>
    <w:p w:rsidR="005F765E" w:rsidRDefault="005F765E">
      <w:pPr>
        <w:rPr>
          <w:rFonts w:cstheme="minorHAnsi"/>
          <w:b/>
          <w:sz w:val="20"/>
          <w:szCs w:val="20"/>
        </w:rPr>
      </w:pPr>
    </w:p>
    <w:p w:rsidR="0086328C" w:rsidRPr="00941ABA" w:rsidRDefault="00730CA8">
      <w:pPr>
        <w:rPr>
          <w:rFonts w:cstheme="minorHAnsi"/>
          <w:b/>
          <w:sz w:val="20"/>
          <w:szCs w:val="20"/>
        </w:rPr>
      </w:pPr>
      <w:r w:rsidRPr="00941ABA">
        <w:rPr>
          <w:rFonts w:cstheme="minorHAnsi"/>
          <w:b/>
          <w:sz w:val="20"/>
          <w:szCs w:val="20"/>
        </w:rPr>
        <w:t>Légende</w:t>
      </w:r>
      <w:r w:rsidR="00941ABA" w:rsidRPr="00941ABA">
        <w:rPr>
          <w:rFonts w:cstheme="minorHAnsi"/>
          <w:b/>
          <w:sz w:val="20"/>
          <w:szCs w:val="20"/>
        </w:rPr>
        <w:t> :</w:t>
      </w:r>
      <w:r w:rsidRPr="00941ABA">
        <w:rPr>
          <w:rFonts w:cstheme="minorHAnsi"/>
          <w:b/>
          <w:sz w:val="20"/>
          <w:szCs w:val="20"/>
        </w:rPr>
        <w:t> </w:t>
      </w:r>
    </w:p>
    <w:p w:rsidR="00526A45" w:rsidRDefault="00941ABA">
      <w:pPr>
        <w:rPr>
          <w:rFonts w:cstheme="minorHAnsi"/>
          <w:sz w:val="20"/>
          <w:szCs w:val="20"/>
        </w:rPr>
      </w:pPr>
      <w:r>
        <w:rPr>
          <w:rFonts w:cstheme="minorHAnsi"/>
          <w:noProof/>
          <w:sz w:val="20"/>
          <w:szCs w:val="20"/>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5715</wp:posOffset>
                </wp:positionV>
                <wp:extent cx="560705" cy="232410"/>
                <wp:effectExtent l="0" t="0" r="10795" b="15240"/>
                <wp:wrapNone/>
                <wp:docPr id="1" name="Rectangle 1"/>
                <wp:cNvGraphicFramePr/>
                <a:graphic xmlns:a="http://schemas.openxmlformats.org/drawingml/2006/main">
                  <a:graphicData uri="http://schemas.microsoft.com/office/word/2010/wordprocessingShape">
                    <wps:wsp>
                      <wps:cNvSpPr/>
                      <wps:spPr>
                        <a:xfrm>
                          <a:off x="0" y="0"/>
                          <a:ext cx="560705" cy="23241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D72B2B" id="Rectangle 1" o:spid="_x0000_s1026" style="position:absolute;margin-left:0;margin-top:.45pt;width:44.15pt;height:18.3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" fillcolor="#70ad47 [3209]" strokecolor="#1f4d78 [1604]" strokeweight="1pt">
                <w10:wrap anchorx="margin"/>
              </v:rect>
            </w:pict>
          </mc:Fallback>
        </mc:AlternateContent>
      </w:r>
      <w:r w:rsidR="00730CA8">
        <w:rPr>
          <w:rFonts w:cstheme="minorHAnsi"/>
          <w:sz w:val="20"/>
          <w:szCs w:val="20"/>
        </w:rPr>
        <w:tab/>
        <w:t xml:space="preserve">     </w:t>
      </w:r>
      <w:r w:rsidR="00EC2307">
        <w:rPr>
          <w:rFonts w:cstheme="minorHAnsi"/>
          <w:sz w:val="20"/>
          <w:szCs w:val="20"/>
        </w:rPr>
        <w:t>Ouvert</w:t>
      </w:r>
    </w:p>
    <w:p w:rsidR="00EC2307" w:rsidRDefault="00526A45">
      <w:pPr>
        <w:rPr>
          <w:rFonts w:cstheme="minorHAnsi"/>
          <w:sz w:val="20"/>
          <w:szCs w:val="20"/>
        </w:rPr>
      </w:pPr>
      <w:r>
        <w:rPr>
          <w:rFonts w:cstheme="minorHAnsi"/>
          <w:noProof/>
          <w:sz w:val="20"/>
          <w:szCs w:val="20"/>
          <w:lang w:eastAsia="fr-FR"/>
        </w:rPr>
        <mc:AlternateContent>
          <mc:Choice Requires="wps">
            <w:drawing>
              <wp:inline distT="0" distB="0" distL="0" distR="0" wp14:anchorId="457D91B8" wp14:editId="7D4C1B67">
                <wp:extent cx="560717" cy="232914"/>
                <wp:effectExtent l="0" t="0" r="10795" b="15240"/>
                <wp:docPr id="2" name="Rectangle 2"/>
                <wp:cNvGraphicFramePr/>
                <a:graphic xmlns:a="http://schemas.openxmlformats.org/drawingml/2006/main">
                  <a:graphicData uri="http://schemas.microsoft.com/office/word/2010/wordprocessingShape">
                    <wps:wsp>
                      <wps:cNvSpPr/>
                      <wps:spPr>
                        <a:xfrm>
                          <a:off x="0" y="0"/>
                          <a:ext cx="560717" cy="232914"/>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5F765E" w:rsidRDefault="005F765E" w:rsidP="005F765E">
                            <w:pPr>
                              <w:jc w:val="center"/>
                            </w:pPr>
                          </w:p>
                          <w:p w:rsidR="005F765E" w:rsidRDefault="005F765E" w:rsidP="005F76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7D91B8" id="Rectangle 2" o:spid="_x0000_s1026" style="width:44.15pt;height:1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" fillcolor="red" strokecolor="#1f4d78 [1604]" strokeweight="1pt">
                <v:textbox>
                  <w:txbxContent>
                    <w:p w:rsidR="005F765E" w:rsidRDefault="005F765E" w:rsidP="005F765E">
                      <w:pPr>
                        <w:jc w:val="center"/>
                      </w:pPr>
                    </w:p>
                    <w:p w:rsidR="005F765E" w:rsidRDefault="005F765E" w:rsidP="005F765E">
                      <w:pPr>
                        <w:jc w:val="center"/>
                      </w:pPr>
                    </w:p>
                  </w:txbxContent>
                </v:textbox>
                <w10:anchorlock/>
              </v:rect>
            </w:pict>
          </mc:Fallback>
        </mc:AlternateContent>
      </w:r>
      <w:r>
        <w:rPr>
          <w:rFonts w:cstheme="minorHAnsi"/>
          <w:sz w:val="20"/>
          <w:szCs w:val="20"/>
        </w:rPr>
        <w:t xml:space="preserve"> Fermé</w:t>
      </w:r>
      <w:r w:rsidR="005F765E">
        <w:rPr>
          <w:rFonts w:cstheme="minorHAnsi"/>
          <w:sz w:val="20"/>
          <w:szCs w:val="20"/>
        </w:rPr>
        <w:br/>
      </w:r>
      <w:r w:rsidR="005F765E">
        <w:rPr>
          <w:rFonts w:cstheme="minorHAnsi"/>
          <w:noProof/>
          <w:sz w:val="20"/>
          <w:szCs w:val="20"/>
          <w:lang w:eastAsia="fr-FR"/>
        </w:rPr>
        <mc:AlternateContent>
          <mc:Choice Requires="wps">
            <w:drawing>
              <wp:inline distT="0" distB="0" distL="0" distR="0" wp14:anchorId="6F43996B" wp14:editId="0F6188A6">
                <wp:extent cx="560717" cy="232914"/>
                <wp:effectExtent l="0" t="0" r="10795" b="15240"/>
                <wp:docPr id="3" name="Rectangle 3"/>
                <wp:cNvGraphicFramePr/>
                <a:graphic xmlns:a="http://schemas.openxmlformats.org/drawingml/2006/main">
                  <a:graphicData uri="http://schemas.microsoft.com/office/word/2010/wordprocessingShape">
                    <wps:wsp>
                      <wps:cNvSpPr/>
                      <wps:spPr>
                        <a:xfrm>
                          <a:off x="0" y="0"/>
                          <a:ext cx="560717" cy="232914"/>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3BE24A" id="Rectangle 3" o:spid="_x0000_s1026" style="width:44.15pt;height:1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" fillcolor="#ffc000" strokecolor="#1f4d78 [1604]" strokeweight="1pt">
                <w10:anchorlock/>
              </v:rect>
            </w:pict>
          </mc:Fallback>
        </mc:AlternateContent>
      </w:r>
      <w:r w:rsidR="006A4316">
        <w:rPr>
          <w:rFonts w:cstheme="minorHAnsi"/>
          <w:sz w:val="20"/>
          <w:szCs w:val="20"/>
        </w:rPr>
        <w:t xml:space="preserve"> Ouverture partiel</w:t>
      </w:r>
      <w:r w:rsidR="00211B52">
        <w:rPr>
          <w:rFonts w:cstheme="minorHAnsi"/>
          <w:sz w:val="20"/>
          <w:szCs w:val="20"/>
        </w:rPr>
        <w:t>le</w:t>
      </w:r>
      <w:bookmarkStart w:id="0" w:name="_GoBack"/>
      <w:bookmarkEnd w:id="0"/>
    </w:p>
    <w:p w:rsidR="005F765E" w:rsidRDefault="005F765E">
      <w:pPr>
        <w:rPr>
          <w:rFonts w:cstheme="minorHAnsi"/>
          <w:sz w:val="20"/>
          <w:szCs w:val="20"/>
        </w:rPr>
      </w:pPr>
    </w:p>
    <w:p w:rsidR="005F765E" w:rsidRDefault="005F765E">
      <w:pPr>
        <w:rPr>
          <w:rFonts w:cstheme="minorHAnsi"/>
          <w:sz w:val="20"/>
          <w:szCs w:val="20"/>
        </w:rPr>
      </w:pPr>
    </w:p>
    <w:p w:rsidR="005F765E" w:rsidRDefault="005F765E">
      <w:pPr>
        <w:rPr>
          <w:rFonts w:cstheme="minorHAnsi"/>
          <w:sz w:val="20"/>
          <w:szCs w:val="20"/>
        </w:rPr>
      </w:pPr>
    </w:p>
    <w:p w:rsidR="005F765E" w:rsidRDefault="005F765E">
      <w:pPr>
        <w:rPr>
          <w:rFonts w:cstheme="minorHAnsi"/>
          <w:sz w:val="20"/>
          <w:szCs w:val="20"/>
        </w:rPr>
      </w:pPr>
    </w:p>
    <w:p w:rsidR="000542A5" w:rsidRDefault="000542A5">
      <w:pPr>
        <w:rPr>
          <w:rFonts w:cstheme="minorHAnsi"/>
          <w:sz w:val="20"/>
          <w:szCs w:val="20"/>
        </w:rPr>
      </w:pPr>
    </w:p>
    <w:p w:rsidR="000542A5" w:rsidRDefault="000542A5">
      <w:pPr>
        <w:rPr>
          <w:rFonts w:cstheme="minorHAnsi"/>
          <w:sz w:val="20"/>
          <w:szCs w:val="20"/>
        </w:rPr>
      </w:pPr>
    </w:p>
    <w:p w:rsidR="000542A5" w:rsidRDefault="000542A5">
      <w:pPr>
        <w:rPr>
          <w:rFonts w:cstheme="minorHAnsi"/>
          <w:sz w:val="20"/>
          <w:szCs w:val="20"/>
        </w:rPr>
      </w:pPr>
    </w:p>
    <w:p w:rsidR="000542A5" w:rsidRDefault="000542A5">
      <w:pPr>
        <w:rPr>
          <w:rFonts w:cstheme="minorHAnsi"/>
          <w:sz w:val="20"/>
          <w:szCs w:val="20"/>
        </w:rPr>
      </w:pPr>
    </w:p>
    <w:p w:rsidR="00790E5E" w:rsidRDefault="00790E5E">
      <w:pPr>
        <w:rPr>
          <w:rFonts w:cstheme="minorHAnsi"/>
          <w:sz w:val="20"/>
          <w:szCs w:val="20"/>
        </w:rPr>
      </w:pPr>
    </w:p>
    <w:p w:rsidR="00790E5E" w:rsidRDefault="00790E5E">
      <w:pPr>
        <w:rPr>
          <w:rFonts w:cstheme="minorHAnsi"/>
          <w:sz w:val="20"/>
          <w:szCs w:val="20"/>
        </w:rPr>
      </w:pPr>
    </w:p>
    <w:p w:rsidR="00790E5E" w:rsidRDefault="00790E5E">
      <w:pPr>
        <w:rPr>
          <w:rFonts w:cstheme="minorHAnsi"/>
          <w:sz w:val="20"/>
          <w:szCs w:val="20"/>
        </w:rPr>
      </w:pPr>
    </w:p>
    <w:p w:rsidR="000F4439" w:rsidRPr="007D321C" w:rsidRDefault="000542A5" w:rsidP="00976474">
      <w:pPr>
        <w:pStyle w:val="Paragraphedeliste"/>
        <w:numPr>
          <w:ilvl w:val="0"/>
          <w:numId w:val="4"/>
        </w:numPr>
        <w:autoSpaceDE w:val="0"/>
        <w:autoSpaceDN w:val="0"/>
        <w:adjustRightInd w:val="0"/>
        <w:spacing w:after="0" w:line="240" w:lineRule="auto"/>
        <w:rPr>
          <w:rFonts w:cstheme="minorHAnsi"/>
          <w:i/>
          <w:sz w:val="20"/>
          <w:szCs w:val="20"/>
        </w:rPr>
      </w:pPr>
      <w:r w:rsidRPr="007D321C">
        <w:rPr>
          <w:rFonts w:cstheme="minorHAnsi"/>
          <w:i/>
          <w:sz w:val="20"/>
          <w:szCs w:val="20"/>
        </w:rPr>
        <w:t>Les acteurs</w:t>
      </w:r>
    </w:p>
    <w:p w:rsidR="0086328C" w:rsidRPr="007D321C" w:rsidRDefault="0086328C" w:rsidP="000F4439">
      <w:pPr>
        <w:autoSpaceDE w:val="0"/>
        <w:autoSpaceDN w:val="0"/>
        <w:adjustRightInd w:val="0"/>
        <w:spacing w:after="0" w:line="240" w:lineRule="auto"/>
        <w:rPr>
          <w:rFonts w:cstheme="minorHAnsi"/>
          <w:sz w:val="20"/>
          <w:szCs w:val="20"/>
        </w:rPr>
      </w:pPr>
    </w:p>
    <w:p w:rsidR="000F4439" w:rsidRPr="007D321C" w:rsidRDefault="000F4439" w:rsidP="000F4439">
      <w:pPr>
        <w:pStyle w:val="Paragraphedeliste"/>
        <w:numPr>
          <w:ilvl w:val="0"/>
          <w:numId w:val="2"/>
        </w:numPr>
        <w:autoSpaceDE w:val="0"/>
        <w:autoSpaceDN w:val="0"/>
        <w:adjustRightInd w:val="0"/>
        <w:spacing w:after="0" w:line="240" w:lineRule="auto"/>
        <w:rPr>
          <w:rFonts w:cstheme="minorHAnsi"/>
          <w:sz w:val="20"/>
          <w:szCs w:val="20"/>
        </w:rPr>
      </w:pPr>
      <w:r w:rsidRPr="007D321C">
        <w:rPr>
          <w:rFonts w:cstheme="minorHAnsi"/>
          <w:sz w:val="20"/>
          <w:szCs w:val="20"/>
        </w:rPr>
        <w:t xml:space="preserve">Le </w:t>
      </w:r>
      <w:r w:rsidRPr="007D321C">
        <w:rPr>
          <w:rFonts w:cstheme="minorHAnsi"/>
          <w:b/>
          <w:bCs/>
          <w:i/>
          <w:iCs/>
          <w:sz w:val="20"/>
          <w:szCs w:val="20"/>
        </w:rPr>
        <w:t xml:space="preserve">Ministry of Agriculture, </w:t>
      </w:r>
      <w:proofErr w:type="spellStart"/>
      <w:r w:rsidRPr="007D321C">
        <w:rPr>
          <w:rFonts w:cstheme="minorHAnsi"/>
          <w:b/>
          <w:bCs/>
          <w:i/>
          <w:iCs/>
          <w:sz w:val="20"/>
          <w:szCs w:val="20"/>
        </w:rPr>
        <w:t>Forestry</w:t>
      </w:r>
      <w:proofErr w:type="spellEnd"/>
      <w:r w:rsidRPr="007D321C">
        <w:rPr>
          <w:rFonts w:cstheme="minorHAnsi"/>
          <w:b/>
          <w:bCs/>
          <w:i/>
          <w:iCs/>
          <w:sz w:val="20"/>
          <w:szCs w:val="20"/>
        </w:rPr>
        <w:t xml:space="preserve"> and </w:t>
      </w:r>
      <w:proofErr w:type="spellStart"/>
      <w:r w:rsidRPr="007D321C">
        <w:rPr>
          <w:rFonts w:cstheme="minorHAnsi"/>
          <w:b/>
          <w:bCs/>
          <w:i/>
          <w:iCs/>
          <w:sz w:val="20"/>
          <w:szCs w:val="20"/>
        </w:rPr>
        <w:t>Fisherie</w:t>
      </w:r>
      <w:proofErr w:type="spellEnd"/>
      <w:r w:rsidRPr="007D321C">
        <w:rPr>
          <w:rFonts w:cstheme="minorHAnsi"/>
          <w:b/>
          <w:bCs/>
          <w:i/>
          <w:iCs/>
          <w:sz w:val="20"/>
          <w:szCs w:val="20"/>
        </w:rPr>
        <w:t xml:space="preserve"> (MAFF)</w:t>
      </w:r>
      <w:r w:rsidRPr="007D321C">
        <w:rPr>
          <w:rFonts w:cstheme="minorHAnsi"/>
          <w:sz w:val="20"/>
          <w:szCs w:val="20"/>
        </w:rPr>
        <w:t xml:space="preserve">, ministère en charge de l’agriculture, assure la gestion des risques dans le domaine de la santé animale et de la santé des végétaux. </w:t>
      </w:r>
    </w:p>
    <w:p w:rsidR="000F4439" w:rsidRPr="007D321C" w:rsidRDefault="000F4439" w:rsidP="000F4439">
      <w:pPr>
        <w:autoSpaceDE w:val="0"/>
        <w:autoSpaceDN w:val="0"/>
        <w:adjustRightInd w:val="0"/>
        <w:spacing w:after="0" w:line="240" w:lineRule="auto"/>
        <w:rPr>
          <w:rFonts w:cstheme="minorHAnsi"/>
          <w:sz w:val="20"/>
          <w:szCs w:val="20"/>
        </w:rPr>
      </w:pPr>
    </w:p>
    <w:p w:rsidR="000F4439" w:rsidRPr="007D321C" w:rsidRDefault="000F4439" w:rsidP="000F4439">
      <w:pPr>
        <w:pStyle w:val="Paragraphedeliste"/>
        <w:numPr>
          <w:ilvl w:val="0"/>
          <w:numId w:val="2"/>
        </w:numPr>
        <w:autoSpaceDE w:val="0"/>
        <w:autoSpaceDN w:val="0"/>
        <w:adjustRightInd w:val="0"/>
        <w:spacing w:after="0" w:line="240" w:lineRule="auto"/>
        <w:rPr>
          <w:rFonts w:cstheme="minorHAnsi"/>
          <w:sz w:val="20"/>
          <w:szCs w:val="20"/>
        </w:rPr>
      </w:pPr>
      <w:r w:rsidRPr="007D321C">
        <w:rPr>
          <w:rFonts w:cstheme="minorHAnsi"/>
          <w:sz w:val="20"/>
          <w:szCs w:val="20"/>
        </w:rPr>
        <w:t xml:space="preserve">Le </w:t>
      </w:r>
      <w:r w:rsidRPr="007D321C">
        <w:rPr>
          <w:rFonts w:cstheme="minorHAnsi"/>
          <w:b/>
          <w:bCs/>
          <w:i/>
          <w:iCs/>
          <w:sz w:val="20"/>
          <w:szCs w:val="20"/>
        </w:rPr>
        <w:t xml:space="preserve">Ministry of </w:t>
      </w:r>
      <w:proofErr w:type="spellStart"/>
      <w:r w:rsidRPr="007D321C">
        <w:rPr>
          <w:rFonts w:cstheme="minorHAnsi"/>
          <w:b/>
          <w:bCs/>
          <w:i/>
          <w:iCs/>
          <w:sz w:val="20"/>
          <w:szCs w:val="20"/>
        </w:rPr>
        <w:t>Health</w:t>
      </w:r>
      <w:proofErr w:type="spellEnd"/>
      <w:r w:rsidRPr="007D321C">
        <w:rPr>
          <w:rFonts w:cstheme="minorHAnsi"/>
          <w:b/>
          <w:bCs/>
          <w:i/>
          <w:iCs/>
          <w:sz w:val="20"/>
          <w:szCs w:val="20"/>
        </w:rPr>
        <w:t xml:space="preserve">, Labour and </w:t>
      </w:r>
      <w:proofErr w:type="spellStart"/>
      <w:r w:rsidRPr="007D321C">
        <w:rPr>
          <w:rFonts w:cstheme="minorHAnsi"/>
          <w:b/>
          <w:bCs/>
          <w:i/>
          <w:iCs/>
          <w:sz w:val="20"/>
          <w:szCs w:val="20"/>
        </w:rPr>
        <w:t>Welfare</w:t>
      </w:r>
      <w:proofErr w:type="spellEnd"/>
      <w:r w:rsidRPr="007D321C">
        <w:rPr>
          <w:rFonts w:cstheme="minorHAnsi"/>
          <w:b/>
          <w:bCs/>
          <w:i/>
          <w:iCs/>
          <w:sz w:val="20"/>
          <w:szCs w:val="20"/>
        </w:rPr>
        <w:t xml:space="preserve"> (MHLW)</w:t>
      </w:r>
      <w:r w:rsidRPr="007D321C">
        <w:rPr>
          <w:rFonts w:cstheme="minorHAnsi"/>
          <w:sz w:val="20"/>
          <w:szCs w:val="20"/>
        </w:rPr>
        <w:t xml:space="preserve">, ministère en charge de la santé qui assure la sécurité sanitaire des aliments. </w:t>
      </w:r>
    </w:p>
    <w:p w:rsidR="000F4439" w:rsidRPr="007D321C" w:rsidRDefault="000F4439" w:rsidP="000F4439">
      <w:pPr>
        <w:autoSpaceDE w:val="0"/>
        <w:autoSpaceDN w:val="0"/>
        <w:adjustRightInd w:val="0"/>
        <w:spacing w:after="0" w:line="240" w:lineRule="auto"/>
        <w:rPr>
          <w:rFonts w:cstheme="minorHAnsi"/>
          <w:sz w:val="20"/>
          <w:szCs w:val="20"/>
        </w:rPr>
      </w:pPr>
    </w:p>
    <w:p w:rsidR="000F4439" w:rsidRPr="007D321C" w:rsidRDefault="000F4439" w:rsidP="000F4439">
      <w:pPr>
        <w:pStyle w:val="Paragraphedeliste"/>
        <w:numPr>
          <w:ilvl w:val="0"/>
          <w:numId w:val="2"/>
        </w:numPr>
        <w:autoSpaceDE w:val="0"/>
        <w:autoSpaceDN w:val="0"/>
        <w:adjustRightInd w:val="0"/>
        <w:spacing w:after="0" w:line="240" w:lineRule="auto"/>
        <w:rPr>
          <w:rFonts w:cstheme="minorHAnsi"/>
          <w:sz w:val="20"/>
          <w:szCs w:val="20"/>
        </w:rPr>
      </w:pPr>
      <w:r w:rsidRPr="007D321C">
        <w:rPr>
          <w:rFonts w:cstheme="minorHAnsi"/>
          <w:sz w:val="20"/>
          <w:szCs w:val="20"/>
        </w:rPr>
        <w:t xml:space="preserve">La </w:t>
      </w:r>
      <w:r w:rsidRPr="007D321C">
        <w:rPr>
          <w:rFonts w:cstheme="minorHAnsi"/>
          <w:b/>
          <w:bCs/>
          <w:i/>
          <w:iCs/>
          <w:sz w:val="20"/>
          <w:szCs w:val="20"/>
        </w:rPr>
        <w:t xml:space="preserve">Food </w:t>
      </w:r>
      <w:proofErr w:type="spellStart"/>
      <w:r w:rsidRPr="007D321C">
        <w:rPr>
          <w:rFonts w:cstheme="minorHAnsi"/>
          <w:b/>
          <w:bCs/>
          <w:i/>
          <w:iCs/>
          <w:sz w:val="20"/>
          <w:szCs w:val="20"/>
        </w:rPr>
        <w:t>Safety</w:t>
      </w:r>
      <w:proofErr w:type="spellEnd"/>
      <w:r w:rsidRPr="007D321C">
        <w:rPr>
          <w:rFonts w:cstheme="minorHAnsi"/>
          <w:b/>
          <w:bCs/>
          <w:i/>
          <w:iCs/>
          <w:sz w:val="20"/>
          <w:szCs w:val="20"/>
        </w:rPr>
        <w:t xml:space="preserve"> Commission, </w:t>
      </w:r>
      <w:r w:rsidRPr="007D321C">
        <w:rPr>
          <w:rFonts w:cstheme="minorHAnsi"/>
          <w:sz w:val="20"/>
          <w:szCs w:val="20"/>
        </w:rPr>
        <w:t xml:space="preserve">en charge de l’évaluation du risque sanitaire, est placée sous la tutelle du Cabinet du 1er Ministre pour assurer son indépendance. C’est l’équivalent de l’Anses en </w:t>
      </w:r>
      <w:r w:rsidR="000542A5" w:rsidRPr="007D321C">
        <w:rPr>
          <w:rFonts w:cstheme="minorHAnsi"/>
          <w:sz w:val="20"/>
          <w:szCs w:val="20"/>
        </w:rPr>
        <w:t>France.</w:t>
      </w:r>
      <w:r w:rsidRPr="007D321C">
        <w:rPr>
          <w:rFonts w:cstheme="minorHAnsi"/>
          <w:sz w:val="20"/>
          <w:szCs w:val="20"/>
        </w:rPr>
        <w:t xml:space="preserve"> </w:t>
      </w:r>
    </w:p>
    <w:p w:rsidR="00D10CFA" w:rsidRPr="007D321C" w:rsidRDefault="00D10CFA" w:rsidP="00976474">
      <w:pPr>
        <w:autoSpaceDE w:val="0"/>
        <w:autoSpaceDN w:val="0"/>
        <w:adjustRightInd w:val="0"/>
        <w:spacing w:after="0" w:line="240" w:lineRule="auto"/>
        <w:rPr>
          <w:rFonts w:cstheme="minorHAnsi"/>
          <w:b/>
          <w:sz w:val="20"/>
          <w:szCs w:val="20"/>
        </w:rPr>
      </w:pPr>
    </w:p>
    <w:p w:rsidR="00226404" w:rsidRPr="007D321C" w:rsidRDefault="000542A5" w:rsidP="00976474">
      <w:pPr>
        <w:pStyle w:val="Paragraphedeliste"/>
        <w:numPr>
          <w:ilvl w:val="0"/>
          <w:numId w:val="4"/>
        </w:numPr>
        <w:autoSpaceDE w:val="0"/>
        <w:autoSpaceDN w:val="0"/>
        <w:adjustRightInd w:val="0"/>
        <w:spacing w:after="0" w:line="240" w:lineRule="auto"/>
        <w:rPr>
          <w:rFonts w:cstheme="minorHAnsi"/>
          <w:i/>
          <w:sz w:val="20"/>
          <w:szCs w:val="20"/>
        </w:rPr>
      </w:pPr>
      <w:r w:rsidRPr="007D321C">
        <w:rPr>
          <w:rFonts w:cstheme="minorHAnsi"/>
          <w:i/>
          <w:sz w:val="20"/>
          <w:szCs w:val="20"/>
        </w:rPr>
        <w:t>La réglementation</w:t>
      </w:r>
    </w:p>
    <w:p w:rsidR="00226404" w:rsidRPr="007D321C" w:rsidRDefault="00226404" w:rsidP="00226404">
      <w:pPr>
        <w:autoSpaceDE w:val="0"/>
        <w:autoSpaceDN w:val="0"/>
        <w:adjustRightInd w:val="0"/>
        <w:spacing w:after="0" w:line="240" w:lineRule="auto"/>
        <w:rPr>
          <w:rFonts w:cstheme="minorHAnsi"/>
          <w:sz w:val="20"/>
          <w:szCs w:val="20"/>
        </w:rPr>
      </w:pPr>
    </w:p>
    <w:p w:rsidR="00976474" w:rsidRPr="007D321C" w:rsidRDefault="00226404" w:rsidP="00976474">
      <w:pPr>
        <w:pStyle w:val="Paragraphedeliste"/>
        <w:numPr>
          <w:ilvl w:val="0"/>
          <w:numId w:val="6"/>
        </w:numPr>
        <w:autoSpaceDE w:val="0"/>
        <w:autoSpaceDN w:val="0"/>
        <w:adjustRightInd w:val="0"/>
        <w:spacing w:after="0" w:line="240" w:lineRule="auto"/>
        <w:rPr>
          <w:rFonts w:cstheme="minorHAnsi"/>
          <w:sz w:val="20"/>
          <w:szCs w:val="20"/>
        </w:rPr>
      </w:pPr>
      <w:r w:rsidRPr="007D321C">
        <w:rPr>
          <w:rFonts w:cstheme="minorHAnsi"/>
          <w:b/>
          <w:i/>
          <w:iCs/>
          <w:sz w:val="20"/>
          <w:szCs w:val="20"/>
        </w:rPr>
        <w:t xml:space="preserve">La </w:t>
      </w:r>
      <w:r w:rsidR="00D10CFA" w:rsidRPr="007D321C">
        <w:rPr>
          <w:rFonts w:cstheme="minorHAnsi"/>
          <w:b/>
          <w:i/>
          <w:iCs/>
          <w:sz w:val="20"/>
          <w:szCs w:val="20"/>
        </w:rPr>
        <w:t xml:space="preserve">Food </w:t>
      </w:r>
      <w:proofErr w:type="spellStart"/>
      <w:r w:rsidR="00D10CFA" w:rsidRPr="007D321C">
        <w:rPr>
          <w:rFonts w:cstheme="minorHAnsi"/>
          <w:b/>
          <w:i/>
          <w:iCs/>
          <w:sz w:val="20"/>
          <w:szCs w:val="20"/>
        </w:rPr>
        <w:t>Sanitation</w:t>
      </w:r>
      <w:proofErr w:type="spellEnd"/>
      <w:r w:rsidR="00D10CFA" w:rsidRPr="007D321C">
        <w:rPr>
          <w:rFonts w:cstheme="minorHAnsi"/>
          <w:b/>
          <w:i/>
          <w:iCs/>
          <w:sz w:val="20"/>
          <w:szCs w:val="20"/>
        </w:rPr>
        <w:t xml:space="preserve"> Law</w:t>
      </w:r>
      <w:r w:rsidRPr="007D321C">
        <w:rPr>
          <w:rFonts w:cstheme="minorHAnsi"/>
          <w:b/>
          <w:i/>
          <w:iCs/>
          <w:sz w:val="20"/>
          <w:szCs w:val="20"/>
        </w:rPr>
        <w:t xml:space="preserve"> </w:t>
      </w:r>
      <w:r w:rsidR="00D10CFA" w:rsidRPr="007D321C">
        <w:rPr>
          <w:rFonts w:cstheme="minorHAnsi"/>
          <w:sz w:val="20"/>
          <w:szCs w:val="20"/>
        </w:rPr>
        <w:t xml:space="preserve">qui émane du MHLW et du MAFF </w:t>
      </w:r>
    </w:p>
    <w:p w:rsidR="00976474" w:rsidRPr="007D321C" w:rsidRDefault="00D10CFA" w:rsidP="00976474">
      <w:pPr>
        <w:pStyle w:val="Paragraphedeliste"/>
        <w:numPr>
          <w:ilvl w:val="0"/>
          <w:numId w:val="6"/>
        </w:numPr>
        <w:autoSpaceDE w:val="0"/>
        <w:autoSpaceDN w:val="0"/>
        <w:adjustRightInd w:val="0"/>
        <w:spacing w:after="0" w:line="240" w:lineRule="auto"/>
        <w:rPr>
          <w:rFonts w:cstheme="minorHAnsi"/>
          <w:sz w:val="20"/>
          <w:szCs w:val="20"/>
        </w:rPr>
      </w:pPr>
      <w:proofErr w:type="spellStart"/>
      <w:r w:rsidRPr="007D321C">
        <w:rPr>
          <w:rFonts w:cstheme="minorHAnsi"/>
          <w:b/>
          <w:i/>
          <w:iCs/>
          <w:sz w:val="20"/>
          <w:szCs w:val="20"/>
        </w:rPr>
        <w:t>Domestic</w:t>
      </w:r>
      <w:proofErr w:type="spellEnd"/>
      <w:r w:rsidRPr="007D321C">
        <w:rPr>
          <w:rFonts w:cstheme="minorHAnsi"/>
          <w:b/>
          <w:i/>
          <w:iCs/>
          <w:sz w:val="20"/>
          <w:szCs w:val="20"/>
        </w:rPr>
        <w:t xml:space="preserve"> Animal </w:t>
      </w:r>
      <w:proofErr w:type="spellStart"/>
      <w:r w:rsidRPr="007D321C">
        <w:rPr>
          <w:rFonts w:cstheme="minorHAnsi"/>
          <w:b/>
          <w:i/>
          <w:iCs/>
          <w:sz w:val="20"/>
          <w:szCs w:val="20"/>
        </w:rPr>
        <w:t>Infectious</w:t>
      </w:r>
      <w:proofErr w:type="spellEnd"/>
      <w:r w:rsidRPr="007D321C">
        <w:rPr>
          <w:rFonts w:cstheme="minorHAnsi"/>
          <w:b/>
          <w:i/>
          <w:iCs/>
          <w:sz w:val="20"/>
          <w:szCs w:val="20"/>
        </w:rPr>
        <w:t xml:space="preserve"> </w:t>
      </w:r>
      <w:proofErr w:type="spellStart"/>
      <w:r w:rsidRPr="007D321C">
        <w:rPr>
          <w:rFonts w:cstheme="minorHAnsi"/>
          <w:b/>
          <w:i/>
          <w:iCs/>
          <w:sz w:val="20"/>
          <w:szCs w:val="20"/>
        </w:rPr>
        <w:t>Diseases</w:t>
      </w:r>
      <w:proofErr w:type="spellEnd"/>
      <w:r w:rsidRPr="007D321C">
        <w:rPr>
          <w:rFonts w:cstheme="minorHAnsi"/>
          <w:b/>
          <w:i/>
          <w:iCs/>
          <w:sz w:val="20"/>
          <w:szCs w:val="20"/>
        </w:rPr>
        <w:t xml:space="preserve"> Control Law</w:t>
      </w:r>
      <w:r w:rsidRPr="007D321C">
        <w:rPr>
          <w:rFonts w:cstheme="minorHAnsi"/>
          <w:i/>
          <w:iCs/>
          <w:sz w:val="20"/>
          <w:szCs w:val="20"/>
        </w:rPr>
        <w:t xml:space="preserve"> </w:t>
      </w:r>
    </w:p>
    <w:p w:rsidR="00976474" w:rsidRPr="007D321C" w:rsidRDefault="00D10CFA" w:rsidP="00CF4531">
      <w:pPr>
        <w:pStyle w:val="Paragraphedeliste"/>
        <w:numPr>
          <w:ilvl w:val="0"/>
          <w:numId w:val="6"/>
        </w:numPr>
        <w:autoSpaceDE w:val="0"/>
        <w:autoSpaceDN w:val="0"/>
        <w:adjustRightInd w:val="0"/>
        <w:spacing w:after="0" w:line="240" w:lineRule="auto"/>
        <w:rPr>
          <w:rFonts w:cstheme="minorHAnsi"/>
          <w:sz w:val="20"/>
          <w:szCs w:val="20"/>
        </w:rPr>
      </w:pPr>
      <w:r w:rsidRPr="007D321C">
        <w:rPr>
          <w:rFonts w:cstheme="minorHAnsi"/>
          <w:sz w:val="20"/>
          <w:szCs w:val="20"/>
        </w:rPr>
        <w:t xml:space="preserve">La loi est complétée par la notification n°370 (1959) intitulée </w:t>
      </w:r>
      <w:proofErr w:type="spellStart"/>
      <w:r w:rsidRPr="007D321C">
        <w:rPr>
          <w:rFonts w:cstheme="minorHAnsi"/>
          <w:b/>
          <w:i/>
          <w:iCs/>
          <w:sz w:val="20"/>
          <w:szCs w:val="20"/>
        </w:rPr>
        <w:t>Specifications</w:t>
      </w:r>
      <w:proofErr w:type="spellEnd"/>
      <w:r w:rsidRPr="007D321C">
        <w:rPr>
          <w:rFonts w:cstheme="minorHAnsi"/>
          <w:b/>
          <w:i/>
          <w:iCs/>
          <w:sz w:val="20"/>
          <w:szCs w:val="20"/>
        </w:rPr>
        <w:t xml:space="preserve"> and Standards for Food and Food Additives</w:t>
      </w:r>
      <w:r w:rsidR="00226404" w:rsidRPr="007D321C">
        <w:rPr>
          <w:rFonts w:cstheme="minorHAnsi"/>
          <w:b/>
          <w:i/>
          <w:iCs/>
          <w:sz w:val="20"/>
          <w:szCs w:val="20"/>
        </w:rPr>
        <w:t xml:space="preserve"> </w:t>
      </w:r>
    </w:p>
    <w:p w:rsidR="00976474" w:rsidRPr="007D321C" w:rsidRDefault="007E34CC" w:rsidP="00226404">
      <w:pPr>
        <w:pStyle w:val="Paragraphedeliste"/>
        <w:numPr>
          <w:ilvl w:val="0"/>
          <w:numId w:val="5"/>
        </w:numPr>
      </w:pPr>
      <w:r w:rsidRPr="007D321C">
        <w:rPr>
          <w:sz w:val="20"/>
          <w:szCs w:val="20"/>
        </w:rPr>
        <w:t xml:space="preserve">Des normes spécifiques peuvent exister </w:t>
      </w:r>
      <w:r w:rsidR="00976474" w:rsidRPr="007D321C">
        <w:rPr>
          <w:sz w:val="20"/>
          <w:szCs w:val="20"/>
        </w:rPr>
        <w:t>pour une vingtaine de produits</w:t>
      </w:r>
      <w:r w:rsidRPr="007D321C">
        <w:rPr>
          <w:sz w:val="20"/>
          <w:szCs w:val="20"/>
        </w:rPr>
        <w:t>.</w:t>
      </w:r>
    </w:p>
    <w:p w:rsidR="00976474" w:rsidRPr="007D321C" w:rsidRDefault="007E34CC" w:rsidP="00226404">
      <w:pPr>
        <w:pStyle w:val="Paragraphedeliste"/>
        <w:numPr>
          <w:ilvl w:val="0"/>
          <w:numId w:val="5"/>
        </w:numPr>
      </w:pPr>
      <w:r w:rsidRPr="007D321C">
        <w:rPr>
          <w:sz w:val="20"/>
          <w:szCs w:val="20"/>
        </w:rPr>
        <w:t>Des normes spécifiques sont également fixées pour l’étiquetage et les emballages.</w:t>
      </w:r>
      <w:r w:rsidR="00226404" w:rsidRPr="007D321C">
        <w:rPr>
          <w:sz w:val="20"/>
          <w:szCs w:val="20"/>
        </w:rPr>
        <w:t xml:space="preserve"> </w:t>
      </w:r>
    </w:p>
    <w:p w:rsidR="00EC2307" w:rsidRPr="007D321C" w:rsidRDefault="007E34CC" w:rsidP="00891773">
      <w:pPr>
        <w:pStyle w:val="Paragraphedeliste"/>
        <w:numPr>
          <w:ilvl w:val="0"/>
          <w:numId w:val="5"/>
        </w:numPr>
      </w:pPr>
      <w:r w:rsidRPr="007D321C">
        <w:rPr>
          <w:sz w:val="20"/>
          <w:szCs w:val="20"/>
        </w:rPr>
        <w:t xml:space="preserve">Le Japon a émis sa propre </w:t>
      </w:r>
      <w:r w:rsidRPr="007D321C">
        <w:rPr>
          <w:bCs/>
          <w:sz w:val="20"/>
          <w:szCs w:val="20"/>
        </w:rPr>
        <w:t xml:space="preserve">liste positive d’additifs </w:t>
      </w:r>
      <w:r w:rsidR="00226404" w:rsidRPr="007D321C">
        <w:rPr>
          <w:sz w:val="20"/>
          <w:szCs w:val="20"/>
        </w:rPr>
        <w:t>autorisés</w:t>
      </w:r>
      <w:r w:rsidR="00226404" w:rsidRPr="007D321C">
        <w:rPr>
          <w:b/>
          <w:sz w:val="20"/>
          <w:szCs w:val="20"/>
        </w:rPr>
        <w:t xml:space="preserve"> </w:t>
      </w:r>
      <w:r w:rsidRPr="007D321C">
        <w:rPr>
          <w:sz w:val="20"/>
          <w:szCs w:val="20"/>
        </w:rPr>
        <w:t xml:space="preserve">qui peuvent être très différents de ceux couramment utilisés dans l’Union européenne. </w:t>
      </w:r>
      <w:r w:rsidRPr="007D321C">
        <w:rPr>
          <w:b/>
          <w:sz w:val="20"/>
          <w:szCs w:val="20"/>
        </w:rPr>
        <w:t>Ce point constitue une source de non-conformité fréquente, obligeant les fabricants à revoir les recettes des produits</w:t>
      </w:r>
    </w:p>
    <w:p w:rsidR="001B1235" w:rsidRPr="007D321C" w:rsidRDefault="001B1235" w:rsidP="001B1235"/>
    <w:p w:rsidR="00226404" w:rsidRPr="007D321C" w:rsidRDefault="00B33B54" w:rsidP="00976474">
      <w:pPr>
        <w:pStyle w:val="Paragraphedeliste"/>
        <w:numPr>
          <w:ilvl w:val="0"/>
          <w:numId w:val="4"/>
        </w:numPr>
        <w:rPr>
          <w:i/>
          <w:sz w:val="20"/>
          <w:szCs w:val="20"/>
        </w:rPr>
      </w:pPr>
      <w:r w:rsidRPr="007D321C">
        <w:rPr>
          <w:i/>
          <w:sz w:val="20"/>
          <w:szCs w:val="20"/>
        </w:rPr>
        <w:t>Fréquence de non conformités / blocage</w:t>
      </w:r>
    </w:p>
    <w:p w:rsidR="00976474" w:rsidRPr="007D321C" w:rsidRDefault="00976474" w:rsidP="00976474">
      <w:pPr>
        <w:pStyle w:val="Paragraphedeliste"/>
        <w:rPr>
          <w:rFonts w:cstheme="minorHAnsi"/>
          <w:b/>
          <w:sz w:val="20"/>
          <w:szCs w:val="20"/>
        </w:rPr>
      </w:pPr>
    </w:p>
    <w:p w:rsidR="00B33B54" w:rsidRPr="007D321C" w:rsidRDefault="00B33B54" w:rsidP="00B33B54">
      <w:pPr>
        <w:autoSpaceDE w:val="0"/>
        <w:autoSpaceDN w:val="0"/>
        <w:adjustRightInd w:val="0"/>
        <w:spacing w:after="0" w:line="240" w:lineRule="auto"/>
        <w:ind w:left="708"/>
        <w:jc w:val="both"/>
        <w:rPr>
          <w:rFonts w:cstheme="minorHAnsi"/>
          <w:sz w:val="20"/>
          <w:szCs w:val="20"/>
        </w:rPr>
      </w:pPr>
      <w:r w:rsidRPr="007D321C">
        <w:rPr>
          <w:rFonts w:cstheme="minorHAnsi"/>
          <w:sz w:val="20"/>
          <w:szCs w:val="20"/>
        </w:rPr>
        <w:t xml:space="preserve">Les contrôles portent sur environ 8% des lots importés sur la base d’une analyse de risque. Dans certaines filières le contrôle est systématique et poussé, comme par exemple la viande bovine. Au moins un lot de chaque entreprise productrice exportant au Japon est contrôlé une fois par an, généralement au cours du dernier trimestre de l’année. La pression est donc relativement importante. Pour autant la fréquence des non-conformités, essentiellement documentaires, reste limitée car les opérateurs sont relativement vigilants. Ce sont surtout les produits chinois qui présentent des non conformités élevées. </w:t>
      </w:r>
    </w:p>
    <w:p w:rsidR="00976474" w:rsidRPr="007D321C" w:rsidRDefault="00B33B54" w:rsidP="00B33B54">
      <w:pPr>
        <w:ind w:left="708"/>
        <w:jc w:val="both"/>
        <w:rPr>
          <w:rFonts w:cstheme="minorHAnsi"/>
        </w:rPr>
      </w:pPr>
      <w:r w:rsidRPr="007D321C">
        <w:rPr>
          <w:rFonts w:cstheme="minorHAnsi"/>
          <w:sz w:val="20"/>
          <w:szCs w:val="20"/>
        </w:rPr>
        <w:t xml:space="preserve">Toutefois, il s’agit de rester </w:t>
      </w:r>
      <w:proofErr w:type="gramStart"/>
      <w:r w:rsidRPr="007D321C">
        <w:rPr>
          <w:rFonts w:cstheme="minorHAnsi"/>
          <w:sz w:val="20"/>
          <w:szCs w:val="20"/>
        </w:rPr>
        <w:t>attentifs</w:t>
      </w:r>
      <w:proofErr w:type="gramEnd"/>
      <w:r w:rsidRPr="007D321C">
        <w:rPr>
          <w:rFonts w:cstheme="minorHAnsi"/>
          <w:sz w:val="20"/>
          <w:szCs w:val="20"/>
        </w:rPr>
        <w:t xml:space="preserve"> et réactifs à ces blocages, qui augmentent de fait avec l’augmentation des ouvertures de marché. Qui plus est, ces dossiers restent lourds à gérer avec les autorités (principalement le MHLW et ses quarantaines), et peuvent entraîner un contrôle renforcé sur le ou les établissements en cause, une suspension des importations depuis ces établissements, voire un embargo sur l’ensemble de la filière si les non-conformités sont graves ou répétées.</w:t>
      </w:r>
    </w:p>
    <w:p w:rsidR="00D10CFA" w:rsidRPr="007D321C" w:rsidRDefault="00D10CFA" w:rsidP="00D10CFA">
      <w:pPr>
        <w:rPr>
          <w:rFonts w:cstheme="minorHAnsi"/>
          <w:sz w:val="20"/>
          <w:szCs w:val="20"/>
        </w:rPr>
      </w:pPr>
    </w:p>
    <w:p w:rsidR="00087DBA" w:rsidRPr="007D321C" w:rsidRDefault="00087DBA" w:rsidP="00D10CFA">
      <w:pPr>
        <w:rPr>
          <w:rFonts w:cstheme="minorHAnsi"/>
          <w:sz w:val="20"/>
          <w:szCs w:val="20"/>
        </w:rPr>
      </w:pPr>
    </w:p>
    <w:p w:rsidR="007E34CC" w:rsidRPr="007D321C" w:rsidRDefault="007E34CC">
      <w:pPr>
        <w:rPr>
          <w:b/>
        </w:rPr>
      </w:pPr>
    </w:p>
    <w:sectPr w:rsidR="007E34CC" w:rsidRPr="007D3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7E71"/>
    <w:multiLevelType w:val="hybridMultilevel"/>
    <w:tmpl w:val="1DBC2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681A50"/>
    <w:multiLevelType w:val="hybridMultilevel"/>
    <w:tmpl w:val="706078B8"/>
    <w:lvl w:ilvl="0" w:tplc="9D52EE52">
      <w:start w:val="3"/>
      <w:numFmt w:val="bullet"/>
      <w:lvlText w:val=""/>
      <w:lvlJc w:val="left"/>
      <w:pPr>
        <w:ind w:left="720" w:hanging="360"/>
      </w:pPr>
      <w:rPr>
        <w:rFonts w:ascii="Wingdings" w:eastAsiaTheme="minorHAnsi" w:hAnsi="Wingdings" w:cstheme="minorBidi" w:hint="default"/>
        <w:b w:val="0"/>
        <w:color w:val="auto"/>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B65A80"/>
    <w:multiLevelType w:val="hybridMultilevel"/>
    <w:tmpl w:val="6FD0E65E"/>
    <w:lvl w:ilvl="0" w:tplc="2F902356">
      <w:start w:val="3"/>
      <w:numFmt w:val="bullet"/>
      <w:lvlText w:val=""/>
      <w:lvlJc w:val="left"/>
      <w:pPr>
        <w:ind w:left="720" w:hanging="360"/>
      </w:pPr>
      <w:rPr>
        <w:rFonts w:ascii="Wingdings" w:eastAsiaTheme="minorHAnsi" w:hAnsi="Wingdings" w:cstheme="minorHAnsi" w:hint="default"/>
        <w:b w:val="0"/>
        <w:i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FF102A"/>
    <w:multiLevelType w:val="hybridMultilevel"/>
    <w:tmpl w:val="BDB43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22C2F07"/>
    <w:multiLevelType w:val="hybridMultilevel"/>
    <w:tmpl w:val="0D76A418"/>
    <w:lvl w:ilvl="0" w:tplc="BA2A9720">
      <w:start w:val="1"/>
      <w:numFmt w:val="decimal"/>
      <w:lvlText w:val="%1."/>
      <w:lvlJc w:val="left"/>
      <w:pPr>
        <w:ind w:left="720" w:hanging="360"/>
      </w:pPr>
      <w:rPr>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FCD5908"/>
    <w:multiLevelType w:val="hybridMultilevel"/>
    <w:tmpl w:val="023AA56E"/>
    <w:lvl w:ilvl="0" w:tplc="005620CC">
      <w:start w:val="1"/>
      <w:numFmt w:val="decimal"/>
      <w:lvlText w:val="%1."/>
      <w:lvlJc w:val="left"/>
      <w:pPr>
        <w:ind w:left="1428" w:hanging="360"/>
      </w:pPr>
      <w:rPr>
        <w:color w:val="auto"/>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71AD3C90"/>
    <w:multiLevelType w:val="hybridMultilevel"/>
    <w:tmpl w:val="49BACD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9C"/>
    <w:rsid w:val="000542A5"/>
    <w:rsid w:val="00082200"/>
    <w:rsid w:val="00087DBA"/>
    <w:rsid w:val="000D3450"/>
    <w:rsid w:val="000F4439"/>
    <w:rsid w:val="00125AAE"/>
    <w:rsid w:val="001431C1"/>
    <w:rsid w:val="001B1235"/>
    <w:rsid w:val="00211B52"/>
    <w:rsid w:val="00226404"/>
    <w:rsid w:val="00226794"/>
    <w:rsid w:val="00322BAF"/>
    <w:rsid w:val="003E2603"/>
    <w:rsid w:val="00526A45"/>
    <w:rsid w:val="005F765E"/>
    <w:rsid w:val="006A4316"/>
    <w:rsid w:val="00721509"/>
    <w:rsid w:val="00730CA8"/>
    <w:rsid w:val="0075189C"/>
    <w:rsid w:val="007743E0"/>
    <w:rsid w:val="00790E5E"/>
    <w:rsid w:val="00792871"/>
    <w:rsid w:val="007D321C"/>
    <w:rsid w:val="007E34CC"/>
    <w:rsid w:val="007E521A"/>
    <w:rsid w:val="0086328C"/>
    <w:rsid w:val="00891773"/>
    <w:rsid w:val="00941ABA"/>
    <w:rsid w:val="00976474"/>
    <w:rsid w:val="009D6286"/>
    <w:rsid w:val="00A476A9"/>
    <w:rsid w:val="00AA01CE"/>
    <w:rsid w:val="00B33B54"/>
    <w:rsid w:val="00B82FAA"/>
    <w:rsid w:val="00C05F14"/>
    <w:rsid w:val="00C55597"/>
    <w:rsid w:val="00CD675E"/>
    <w:rsid w:val="00CF4531"/>
    <w:rsid w:val="00D10CFA"/>
    <w:rsid w:val="00EC2307"/>
    <w:rsid w:val="00EF2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E511B-0945-48F9-8C41-43673A4D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34CC"/>
    <w:pPr>
      <w:ind w:left="720"/>
      <w:contextualSpacing/>
    </w:pPr>
  </w:style>
  <w:style w:type="paragraph" w:customStyle="1" w:styleId="Default">
    <w:name w:val="Default"/>
    <w:rsid w:val="007E34C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43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6ECE0-DF89-4CD0-A92A-84F632AE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813</Words>
  <Characters>4474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FANTON Melchior</dc:creator>
  <cp:keywords/>
  <dc:description/>
  <cp:lastModifiedBy>PRONESTI Marielle</cp:lastModifiedBy>
  <cp:revision>4</cp:revision>
  <dcterms:created xsi:type="dcterms:W3CDTF">2021-11-19T13:55:00Z</dcterms:created>
  <dcterms:modified xsi:type="dcterms:W3CDTF">2021-11-19T13:58:00Z</dcterms:modified>
</cp:coreProperties>
</file>