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0581" w14:textId="36B716BA" w:rsidR="00C330B3" w:rsidRDefault="00C330B3" w:rsidP="00D7400C">
      <w:pPr>
        <w:spacing w:after="0"/>
        <w:rPr>
          <w:rFonts w:cstheme="minorHAnsi"/>
          <w:i/>
        </w:rPr>
      </w:pPr>
      <w:bookmarkStart w:id="0" w:name="_GoBack"/>
      <w:bookmarkEnd w:id="0"/>
      <w:r w:rsidRPr="00C330B3">
        <w:rPr>
          <w:rFonts w:cstheme="minorHAnsi"/>
          <w:i/>
        </w:rPr>
        <w:t>Raison sociale de l’</w:t>
      </w:r>
      <w:r w:rsidR="007D3A53">
        <w:rPr>
          <w:rFonts w:cstheme="minorHAnsi"/>
          <w:i/>
        </w:rPr>
        <w:t>assureur</w:t>
      </w:r>
    </w:p>
    <w:p w14:paraId="4FC20175" w14:textId="6E8923A9" w:rsidR="00CF5F2D" w:rsidRPr="00036C12" w:rsidRDefault="00036C12" w:rsidP="00036C12">
      <w:pPr>
        <w:rPr>
          <w:rFonts w:cstheme="minorHAnsi"/>
          <w:i/>
        </w:rPr>
      </w:pPr>
      <w:r w:rsidRPr="00036C12">
        <w:rPr>
          <w:rFonts w:cstheme="minorHAnsi"/>
          <w:i/>
        </w:rPr>
        <w:t>Nom et c</w:t>
      </w:r>
      <w:r w:rsidR="00CF5F2D" w:rsidRPr="00036C12">
        <w:rPr>
          <w:rFonts w:cstheme="minorHAnsi"/>
          <w:i/>
        </w:rPr>
        <w:t>oordonnées de l’assureur</w:t>
      </w:r>
    </w:p>
    <w:p w14:paraId="60BEC38A" w14:textId="77777777" w:rsidR="00036C12" w:rsidRPr="001D0507" w:rsidRDefault="00036C12" w:rsidP="00CF5F2D">
      <w:pPr>
        <w:ind w:left="4950"/>
        <w:rPr>
          <w:rFonts w:ascii="Calibri" w:hAnsi="Calibri" w:cs="Calibri"/>
          <w:sz w:val="24"/>
        </w:rPr>
      </w:pPr>
    </w:p>
    <w:p w14:paraId="11605D67" w14:textId="77777777" w:rsidR="007E03CE" w:rsidRPr="001D0507" w:rsidRDefault="00BC1B5F" w:rsidP="00CF5F2D">
      <w:pPr>
        <w:ind w:left="4950"/>
        <w:rPr>
          <w:rFonts w:ascii="Calibri" w:hAnsi="Calibri" w:cs="Calibri"/>
          <w:i/>
          <w:sz w:val="24"/>
        </w:rPr>
      </w:pPr>
      <w:r w:rsidRPr="001D0507">
        <w:rPr>
          <w:rFonts w:ascii="Calibri" w:hAnsi="Calibri" w:cs="Calibri"/>
          <w:i/>
          <w:sz w:val="24"/>
        </w:rPr>
        <w:t>Nom et c</w:t>
      </w:r>
      <w:r w:rsidR="007E03CE" w:rsidRPr="001D0507">
        <w:rPr>
          <w:rFonts w:ascii="Calibri" w:hAnsi="Calibri" w:cs="Calibri"/>
          <w:i/>
          <w:sz w:val="24"/>
        </w:rPr>
        <w:t>oordonnées de l’exploitant</w:t>
      </w:r>
      <w:r w:rsidRPr="001D0507">
        <w:rPr>
          <w:rFonts w:ascii="Calibri" w:hAnsi="Calibri" w:cs="Calibri"/>
          <w:i/>
          <w:sz w:val="24"/>
        </w:rPr>
        <w:t xml:space="preserve"> assuré</w:t>
      </w:r>
    </w:p>
    <w:p w14:paraId="38EBEAD8" w14:textId="77777777" w:rsidR="00CF5F2D" w:rsidRDefault="00CF5F2D" w:rsidP="00CF315A">
      <w:pPr>
        <w:suppressAutoHyphens/>
        <w:spacing w:after="24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D9D43AC" w14:textId="77777777" w:rsidR="00036C12" w:rsidRDefault="00CF5F2D" w:rsidP="00036C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  <w:t>À ……………………………. , le  ………/……..../……….</w:t>
      </w:r>
    </w:p>
    <w:p w14:paraId="253A0A35" w14:textId="77777777" w:rsidR="00036C12" w:rsidRDefault="00036C12" w:rsidP="00036C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3EA65C3C" w14:textId="77777777" w:rsidR="00603C86" w:rsidRPr="00603C86" w:rsidRDefault="00603C86" w:rsidP="00036C12">
      <w:pPr>
        <w:suppressAutoHyphens/>
        <w:spacing w:after="200" w:line="240" w:lineRule="auto"/>
        <w:rPr>
          <w:rFonts w:ascii="Calibri" w:eastAsia="Times New Roman" w:hAnsi="Calibri" w:cs="Calibri"/>
          <w:lang w:eastAsia="zh-CN"/>
        </w:rPr>
      </w:pPr>
      <w:r w:rsidRPr="00603C86">
        <w:rPr>
          <w:rFonts w:ascii="Calibri" w:eastAsia="Times New Roman" w:hAnsi="Calibri" w:cs="Calibri"/>
          <w:b/>
          <w:lang w:eastAsia="zh-CN"/>
        </w:rPr>
        <w:t>Références :</w:t>
      </w:r>
    </w:p>
    <w:p w14:paraId="0F2D407E" w14:textId="7B025D8E" w:rsidR="00603C86" w:rsidRPr="00603C86" w:rsidRDefault="001E65F2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de </w:t>
      </w:r>
      <w:r w:rsidR="00603C86" w:rsidRPr="00603C86">
        <w:rPr>
          <w:rFonts w:ascii="Calibri" w:eastAsia="Times New Roman" w:hAnsi="Calibri" w:cs="Calibri"/>
          <w:lang w:eastAsia="zh-CN"/>
        </w:rPr>
        <w:t>Contrat</w:t>
      </w:r>
      <w:r w:rsidR="00603C86" w:rsidRPr="00CF5F2D">
        <w:rPr>
          <w:rFonts w:ascii="Calibri" w:eastAsia="Times New Roman" w:hAnsi="Calibri" w:cs="Calibri"/>
          <w:lang w:eastAsia="zh-CN"/>
        </w:rPr>
        <w:t> :</w:t>
      </w:r>
      <w:r w:rsidR="00BC1B5F">
        <w:rPr>
          <w:rFonts w:ascii="Calibri" w:eastAsia="Times New Roman" w:hAnsi="Calibri" w:cs="Calibri"/>
          <w:lang w:eastAsia="zh-CN"/>
        </w:rPr>
        <w:t xml:space="preserve"> XXXXX</w:t>
      </w:r>
    </w:p>
    <w:p w14:paraId="560FDB51" w14:textId="77777777" w:rsidR="00603C86" w:rsidRDefault="00BC1B5F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</w:t>
      </w:r>
      <w:r w:rsidR="00A630BA">
        <w:rPr>
          <w:rFonts w:ascii="Calibri" w:eastAsia="Times New Roman" w:hAnsi="Calibri" w:cs="Calibri"/>
          <w:lang w:eastAsia="zh-CN"/>
        </w:rPr>
        <w:t>Assuré</w:t>
      </w:r>
      <w:r w:rsidR="00224096" w:rsidRPr="00603C86">
        <w:rPr>
          <w:rFonts w:ascii="Calibri" w:eastAsia="Times New Roman" w:hAnsi="Calibri" w:cs="Calibri"/>
          <w:lang w:eastAsia="zh-CN"/>
        </w:rPr>
        <w:t> </w:t>
      </w:r>
      <w:r w:rsidR="00603C86" w:rsidRPr="00603C86">
        <w:rPr>
          <w:rFonts w:ascii="Calibri" w:eastAsia="Times New Roman" w:hAnsi="Calibri" w:cs="Calibri"/>
          <w:lang w:eastAsia="zh-CN"/>
        </w:rPr>
        <w:t xml:space="preserve">: </w:t>
      </w:r>
      <w:r>
        <w:rPr>
          <w:rFonts w:ascii="Calibri" w:eastAsia="Times New Roman" w:hAnsi="Calibri" w:cs="Calibri"/>
          <w:lang w:eastAsia="zh-CN"/>
        </w:rPr>
        <w:t>XXXXX</w:t>
      </w:r>
    </w:p>
    <w:p w14:paraId="395D9F72" w14:textId="77777777" w:rsidR="00BC1B5F" w:rsidRPr="00603C86" w:rsidRDefault="00BC1B5F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N° Pacage : XXXXX</w:t>
      </w:r>
    </w:p>
    <w:p w14:paraId="57BABD44" w14:textId="77777777" w:rsidR="00603C86" w:rsidRDefault="00603C86" w:rsidP="00036C12">
      <w:pPr>
        <w:suppressAutoHyphens/>
        <w:spacing w:before="120" w:after="0" w:line="240" w:lineRule="auto"/>
        <w:rPr>
          <w:rFonts w:ascii="Calibri" w:eastAsia="Times New Roman" w:hAnsi="Calibri" w:cs="Calibri"/>
          <w:lang w:eastAsia="zh-CN"/>
        </w:rPr>
      </w:pPr>
      <w:r w:rsidRPr="00CF5F2D">
        <w:rPr>
          <w:rFonts w:ascii="Calibri" w:eastAsia="Times New Roman" w:hAnsi="Calibri" w:cs="Calibri"/>
          <w:lang w:eastAsia="zh-CN"/>
        </w:rPr>
        <w:t>Campagne 2021</w:t>
      </w:r>
    </w:p>
    <w:p w14:paraId="31FBC647" w14:textId="77777777" w:rsidR="00036C12" w:rsidRPr="00036C12" w:rsidRDefault="00036C12" w:rsidP="00036C12">
      <w:pPr>
        <w:suppressAutoHyphens/>
        <w:spacing w:before="120" w:after="0" w:line="240" w:lineRule="auto"/>
        <w:rPr>
          <w:rFonts w:ascii="Calibri" w:eastAsia="Times New Roman" w:hAnsi="Calibri" w:cs="Calibri"/>
          <w:lang w:eastAsia="zh-CN"/>
        </w:rPr>
      </w:pPr>
    </w:p>
    <w:p w14:paraId="22F24CD7" w14:textId="77777777" w:rsidR="00CF5F2D" w:rsidRPr="00CF5F2D" w:rsidRDefault="00CF315A" w:rsidP="00CF315A">
      <w:pPr>
        <w:suppressAutoHyphens/>
        <w:spacing w:after="240" w:line="240" w:lineRule="auto"/>
        <w:jc w:val="both"/>
        <w:rPr>
          <w:rFonts w:eastAsia="Times New Roman" w:cstheme="minorHAnsi"/>
          <w:lang w:eastAsia="zh-CN"/>
        </w:rPr>
      </w:pPr>
      <w:r w:rsidRPr="00CF315A">
        <w:rPr>
          <w:rFonts w:eastAsia="Times New Roman" w:cstheme="minorHAnsi"/>
          <w:b/>
          <w:u w:val="single"/>
          <w:lang w:eastAsia="zh-CN"/>
        </w:rPr>
        <w:t>Objet </w:t>
      </w:r>
      <w:r w:rsidRPr="00CF315A">
        <w:rPr>
          <w:rFonts w:eastAsia="Times New Roman" w:cstheme="minorHAnsi"/>
          <w:b/>
          <w:lang w:eastAsia="zh-CN"/>
        </w:rPr>
        <w:t>:</w:t>
      </w:r>
      <w:r w:rsidR="00603C86" w:rsidRPr="00CF5F2D">
        <w:rPr>
          <w:rFonts w:eastAsia="Times New Roman" w:cstheme="minorHAnsi"/>
          <w:lang w:eastAsia="zh-CN"/>
        </w:rPr>
        <w:t xml:space="preserve"> </w:t>
      </w:r>
      <w:r w:rsidR="00CF5F2D" w:rsidRPr="00CF5F2D">
        <w:rPr>
          <w:rFonts w:cstheme="minorHAnsi"/>
          <w:b/>
          <w:szCs w:val="20"/>
        </w:rPr>
        <w:t>Attestation d’indemnisation</w:t>
      </w:r>
      <w:r w:rsidR="00CF5F2D" w:rsidRPr="00CF5F2D">
        <w:rPr>
          <w:rFonts w:cstheme="minorHAnsi"/>
          <w:b/>
          <w:szCs w:val="20"/>
          <w:lang w:eastAsia="fr-FR"/>
        </w:rPr>
        <w:t xml:space="preserve"> perçue par les agriculteurs particulièrement affectés par l’épisode de gel survenu du 4 au 14 avril 2021 au titre de leur contrat d’assurance climatique pour des pertes de récolte</w:t>
      </w:r>
    </w:p>
    <w:p w14:paraId="2C73A802" w14:textId="7206EB87" w:rsidR="00105579" w:rsidRDefault="00CF315A" w:rsidP="00105579">
      <w:pPr>
        <w:jc w:val="both"/>
        <w:rPr>
          <w:rFonts w:cs="Arial"/>
          <w:szCs w:val="20"/>
        </w:rPr>
      </w:pPr>
      <w:r w:rsidRPr="00BF687C">
        <w:rPr>
          <w:rFonts w:cs="Arial"/>
          <w:szCs w:val="20"/>
        </w:rPr>
        <w:t>Entre le 4 et le 14 avril derniers, la France a été touchée par un épisode de gel</w:t>
      </w:r>
      <w:r>
        <w:rPr>
          <w:rFonts w:cs="Arial"/>
          <w:szCs w:val="20"/>
        </w:rPr>
        <w:t xml:space="preserve"> exceptionnel</w:t>
      </w:r>
      <w:r w:rsidRPr="00BF687C">
        <w:rPr>
          <w:rFonts w:cs="Arial"/>
          <w:szCs w:val="20"/>
        </w:rPr>
        <w:t xml:space="preserve">, qui a impacté </w:t>
      </w:r>
      <w:r>
        <w:rPr>
          <w:rFonts w:cs="Arial"/>
          <w:szCs w:val="20"/>
        </w:rPr>
        <w:t>fortement</w:t>
      </w:r>
      <w:r w:rsidRPr="00BF687C">
        <w:rPr>
          <w:rFonts w:cs="Arial"/>
          <w:szCs w:val="20"/>
        </w:rPr>
        <w:t xml:space="preserve"> les secteurs de l’arboriculture</w:t>
      </w:r>
      <w:r>
        <w:rPr>
          <w:rFonts w:cs="Arial"/>
          <w:szCs w:val="20"/>
        </w:rPr>
        <w:t xml:space="preserve"> et</w:t>
      </w:r>
      <w:r w:rsidRPr="00BF687C">
        <w:rPr>
          <w:rFonts w:cs="Arial"/>
          <w:szCs w:val="20"/>
        </w:rPr>
        <w:t xml:space="preserve"> de la viticulture </w:t>
      </w:r>
      <w:r>
        <w:rPr>
          <w:rFonts w:cs="Arial"/>
          <w:szCs w:val="20"/>
        </w:rPr>
        <w:t>ainsi que d’autres cultures</w:t>
      </w:r>
      <w:r w:rsidRPr="00BF687C">
        <w:rPr>
          <w:rFonts w:cs="Arial"/>
          <w:szCs w:val="20"/>
        </w:rPr>
        <w:t xml:space="preserve"> dans </w:t>
      </w:r>
      <w:r>
        <w:rPr>
          <w:rFonts w:cs="Arial"/>
          <w:szCs w:val="20"/>
        </w:rPr>
        <w:t>la quasi-totalité</w:t>
      </w:r>
      <w:r w:rsidRPr="00BF687C">
        <w:rPr>
          <w:rFonts w:cs="Arial"/>
          <w:szCs w:val="20"/>
        </w:rPr>
        <w:t xml:space="preserve"> du territoire métropolitain. Pour faire face aux conséquences économiques de cet épisode climatique exceptionnel, le Gouvernement a décidé de mettre en œuvre un «</w:t>
      </w:r>
      <w:r w:rsidRPr="00BF687C">
        <w:rPr>
          <w:rFonts w:ascii="Calibri" w:hAnsi="Calibri" w:cs="Calibri"/>
          <w:szCs w:val="20"/>
        </w:rPr>
        <w:t> </w:t>
      </w:r>
      <w:r w:rsidRPr="00BF687C">
        <w:rPr>
          <w:rFonts w:cs="Arial"/>
          <w:szCs w:val="20"/>
        </w:rPr>
        <w:t>plan gel</w:t>
      </w:r>
      <w:r w:rsidRPr="00BF687C">
        <w:rPr>
          <w:rFonts w:ascii="Calibri" w:hAnsi="Calibri" w:cs="Calibri"/>
          <w:szCs w:val="20"/>
        </w:rPr>
        <w:t> </w:t>
      </w:r>
      <w:r w:rsidRPr="00BF687C">
        <w:rPr>
          <w:rFonts w:cs="Marianne"/>
          <w:szCs w:val="20"/>
        </w:rPr>
        <w:t>»</w:t>
      </w:r>
      <w:r w:rsidRPr="00BF687C">
        <w:rPr>
          <w:rFonts w:cs="Arial"/>
          <w:szCs w:val="20"/>
        </w:rPr>
        <w:t xml:space="preserve"> qui vise </w:t>
      </w:r>
      <w:r w:rsidRPr="00BF687C">
        <w:rPr>
          <w:rFonts w:cs="Marianne"/>
          <w:szCs w:val="20"/>
        </w:rPr>
        <w:t>à</w:t>
      </w:r>
      <w:r w:rsidRPr="00BF687C">
        <w:rPr>
          <w:rFonts w:cs="Arial"/>
          <w:szCs w:val="20"/>
        </w:rPr>
        <w:t xml:space="preserve"> la fois </w:t>
      </w:r>
      <w:r w:rsidRPr="00BF687C">
        <w:rPr>
          <w:rFonts w:cs="Marianne"/>
          <w:szCs w:val="20"/>
        </w:rPr>
        <w:t>à</w:t>
      </w:r>
      <w:r w:rsidRPr="00BF687C">
        <w:rPr>
          <w:rFonts w:cs="Arial"/>
          <w:szCs w:val="20"/>
        </w:rPr>
        <w:t xml:space="preserve"> rem</w:t>
      </w:r>
      <w:r w:rsidRPr="00BF687C">
        <w:rPr>
          <w:rFonts w:cs="Marianne"/>
          <w:szCs w:val="20"/>
        </w:rPr>
        <w:t>é</w:t>
      </w:r>
      <w:r w:rsidRPr="00BF687C">
        <w:rPr>
          <w:rFonts w:cs="Arial"/>
          <w:szCs w:val="20"/>
        </w:rPr>
        <w:t xml:space="preserve">dier </w:t>
      </w:r>
      <w:r w:rsidRPr="00BF687C">
        <w:rPr>
          <w:rFonts w:cs="Marianne"/>
          <w:szCs w:val="20"/>
        </w:rPr>
        <w:t>à</w:t>
      </w:r>
      <w:r w:rsidRPr="00BF687C">
        <w:rPr>
          <w:rFonts w:cs="Arial"/>
          <w:szCs w:val="20"/>
        </w:rPr>
        <w:t xml:space="preserve"> l</w:t>
      </w:r>
      <w:r w:rsidRPr="00BF687C">
        <w:rPr>
          <w:rFonts w:cs="Marianne"/>
          <w:szCs w:val="20"/>
        </w:rPr>
        <w:t>’</w:t>
      </w:r>
      <w:r w:rsidRPr="00BF687C">
        <w:rPr>
          <w:rFonts w:cs="Arial"/>
          <w:szCs w:val="20"/>
        </w:rPr>
        <w:t>urgence li</w:t>
      </w:r>
      <w:r w:rsidRPr="00BF687C">
        <w:rPr>
          <w:rFonts w:cs="Marianne"/>
          <w:szCs w:val="20"/>
        </w:rPr>
        <w:t>é</w:t>
      </w:r>
      <w:r w:rsidRPr="00BF687C">
        <w:rPr>
          <w:rFonts w:cs="Arial"/>
          <w:szCs w:val="20"/>
        </w:rPr>
        <w:t>e aux pertes de r</w:t>
      </w:r>
      <w:r w:rsidRPr="00BF687C">
        <w:rPr>
          <w:rFonts w:cs="Marianne"/>
          <w:szCs w:val="20"/>
        </w:rPr>
        <w:t>é</w:t>
      </w:r>
      <w:r w:rsidRPr="00BF687C">
        <w:rPr>
          <w:rFonts w:cs="Arial"/>
          <w:szCs w:val="20"/>
        </w:rPr>
        <w:t xml:space="preserve">colte et </w:t>
      </w:r>
      <w:r w:rsidRPr="00BF687C">
        <w:rPr>
          <w:rFonts w:cs="Marianne"/>
          <w:szCs w:val="20"/>
        </w:rPr>
        <w:t>à</w:t>
      </w:r>
      <w:r w:rsidRPr="00BF687C">
        <w:rPr>
          <w:rFonts w:cs="Arial"/>
          <w:szCs w:val="20"/>
        </w:rPr>
        <w:t xml:space="preserve"> soutenir les fili</w:t>
      </w:r>
      <w:r w:rsidRPr="00BF687C">
        <w:rPr>
          <w:rFonts w:cs="Marianne"/>
          <w:szCs w:val="20"/>
        </w:rPr>
        <w:t>è</w:t>
      </w:r>
      <w:r w:rsidRPr="00BF687C">
        <w:rPr>
          <w:rFonts w:cs="Arial"/>
          <w:szCs w:val="20"/>
        </w:rPr>
        <w:t>res sur le moyen terme, en renforçant leur capacité de résilience face aux aléas climatiques.</w:t>
      </w:r>
      <w:r w:rsidR="00105579">
        <w:rPr>
          <w:rFonts w:cs="Arial"/>
          <w:szCs w:val="20"/>
        </w:rPr>
        <w:t xml:space="preserve"> </w:t>
      </w:r>
      <w:r w:rsidRPr="00BF687C">
        <w:rPr>
          <w:rFonts w:cs="Arial"/>
          <w:szCs w:val="20"/>
        </w:rPr>
        <w:t>Dans ce cadre, un dispositif d’indemnisation complémentaire au profit des agriculteurs assurés contre les risques climatiques particulièrement affectés par l’épisode de gel survenu du 4 au 14 avril 2021</w:t>
      </w:r>
      <w:r w:rsidR="00105579">
        <w:rPr>
          <w:rFonts w:cs="Arial"/>
          <w:szCs w:val="20"/>
        </w:rPr>
        <w:t xml:space="preserve"> a été mis en place</w:t>
      </w:r>
      <w:r w:rsidR="00454509">
        <w:rPr>
          <w:rFonts w:cs="Arial"/>
          <w:szCs w:val="20"/>
        </w:rPr>
        <w:t xml:space="preserve">, </w:t>
      </w:r>
      <w:r w:rsidR="00454509" w:rsidRPr="00454509">
        <w:rPr>
          <w:rFonts w:cs="Arial"/>
          <w:szCs w:val="20"/>
        </w:rPr>
        <w:t>afin de garantir que</w:t>
      </w:r>
      <w:r w:rsidR="00454509">
        <w:rPr>
          <w:rFonts w:cs="Arial"/>
          <w:szCs w:val="20"/>
        </w:rPr>
        <w:t xml:space="preserve"> </w:t>
      </w:r>
      <w:r w:rsidR="00454509" w:rsidRPr="00454509">
        <w:rPr>
          <w:rFonts w:cs="Arial"/>
          <w:szCs w:val="20"/>
        </w:rPr>
        <w:t xml:space="preserve">les assurés climatiques soient mieux </w:t>
      </w:r>
      <w:r w:rsidR="00454509">
        <w:rPr>
          <w:rFonts w:cs="Arial"/>
          <w:szCs w:val="20"/>
        </w:rPr>
        <w:t>indemnisés</w:t>
      </w:r>
      <w:r w:rsidR="00454509" w:rsidRPr="00454509">
        <w:rPr>
          <w:rFonts w:cs="Arial"/>
          <w:szCs w:val="20"/>
        </w:rPr>
        <w:t xml:space="preserve"> que les non-assurés éligibles au régime des calamités agricoles</w:t>
      </w:r>
      <w:r w:rsidR="00454509">
        <w:rPr>
          <w:rFonts w:cs="Arial"/>
          <w:szCs w:val="20"/>
        </w:rPr>
        <w:t xml:space="preserve"> pour les mêmes pertes</w:t>
      </w:r>
      <w:r w:rsidR="00330B38">
        <w:rPr>
          <w:rStyle w:val="Appelnotedebasdep"/>
          <w:rFonts w:cs="Arial"/>
          <w:szCs w:val="20"/>
        </w:rPr>
        <w:footnoteReference w:id="1"/>
      </w:r>
      <w:r w:rsidRPr="00BF687C">
        <w:rPr>
          <w:rFonts w:cs="Arial"/>
          <w:szCs w:val="20"/>
        </w:rPr>
        <w:t>.</w:t>
      </w:r>
    </w:p>
    <w:p w14:paraId="6C01226D" w14:textId="77777777" w:rsidR="00CF315A" w:rsidRDefault="00CF315A" w:rsidP="00603C86">
      <w:pPr>
        <w:spacing w:after="200"/>
        <w:jc w:val="both"/>
        <w:rPr>
          <w:rFonts w:cstheme="minorHAnsi"/>
        </w:rPr>
      </w:pPr>
      <w:r w:rsidRPr="00CF315A">
        <w:rPr>
          <w:rFonts w:cstheme="minorHAnsi"/>
        </w:rPr>
        <w:t xml:space="preserve">À ce titre, nous, </w:t>
      </w:r>
      <w:r w:rsidRPr="00603C86">
        <w:rPr>
          <w:rFonts w:cstheme="minorHAnsi"/>
          <w:b/>
        </w:rPr>
        <w:t>………………………………………………………………………………………………………………………………</w:t>
      </w:r>
      <w:r w:rsidR="00036C12">
        <w:rPr>
          <w:rStyle w:val="Appelnotedebasdep"/>
          <w:rFonts w:cstheme="minorHAnsi"/>
          <w:b/>
        </w:rPr>
        <w:footnoteReference w:id="2"/>
      </w:r>
    </w:p>
    <w:p w14:paraId="0292974D" w14:textId="77777777" w:rsidR="00CF315A" w:rsidRDefault="00CF315A" w:rsidP="00603C86">
      <w:pPr>
        <w:spacing w:before="120" w:after="0"/>
        <w:jc w:val="both"/>
        <w:rPr>
          <w:rFonts w:cstheme="minorHAnsi"/>
        </w:rPr>
      </w:pPr>
      <w:r w:rsidRPr="00CF315A">
        <w:rPr>
          <w:rFonts w:cstheme="minorHAnsi"/>
        </w:rPr>
        <w:t xml:space="preserve">attestons que </w:t>
      </w:r>
      <w:r w:rsidRPr="00603C86">
        <w:rPr>
          <w:rFonts w:cstheme="minorHAnsi"/>
          <w:b/>
        </w:rPr>
        <w:t>…………………………………………………………………………………………………………………………………</w:t>
      </w:r>
      <w:r w:rsidR="00036C12">
        <w:rPr>
          <w:rStyle w:val="Appelnotedebasdep"/>
          <w:rFonts w:cstheme="minorHAnsi"/>
          <w:b/>
        </w:rPr>
        <w:footnoteReference w:id="3"/>
      </w:r>
    </w:p>
    <w:p w14:paraId="4CC3276F" w14:textId="77777777" w:rsidR="003E7312" w:rsidRDefault="003E7312" w:rsidP="003E731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75CCAB95" w14:textId="77777777" w:rsidR="003E7312" w:rsidRDefault="003E7312" w:rsidP="003E731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SIRET de l’exploitation : </w:t>
      </w:r>
      <w:r w:rsidRPr="00603C86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 xml:space="preserve"> (14 caractères)</w:t>
      </w:r>
    </w:p>
    <w:p w14:paraId="79BB1403" w14:textId="77777777" w:rsidR="00E75711" w:rsidRDefault="00E75711" w:rsidP="00036C12">
      <w:pPr>
        <w:spacing w:after="0"/>
        <w:jc w:val="both"/>
        <w:rPr>
          <w:rFonts w:cstheme="minorHAnsi"/>
        </w:rPr>
      </w:pPr>
    </w:p>
    <w:p w14:paraId="62F0AEB2" w14:textId="47646674" w:rsidR="00036C12" w:rsidRDefault="004B098E" w:rsidP="00036C1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51608F">
        <w:rPr>
          <w:rFonts w:cstheme="minorHAnsi"/>
        </w:rPr>
        <w:t>subi</w:t>
      </w:r>
      <w:r>
        <w:rPr>
          <w:rFonts w:cstheme="minorHAnsi"/>
        </w:rPr>
        <w:t xml:space="preserve"> des pertes de récoltes liées au gel survenu du 4 au 14 avril et </w:t>
      </w:r>
      <w:r w:rsidR="00CF315A" w:rsidRPr="00CF315A">
        <w:rPr>
          <w:rFonts w:cstheme="minorHAnsi"/>
        </w:rPr>
        <w:t xml:space="preserve">a souscrit pour la récolte 2021 le contrat suivant couvrant les pertes de récolte </w:t>
      </w:r>
      <w:r w:rsidR="00603C86" w:rsidRPr="00CF315A">
        <w:rPr>
          <w:rFonts w:cstheme="minorHAnsi"/>
        </w:rPr>
        <w:t xml:space="preserve">décrites ci-après </w:t>
      </w:r>
      <w:r w:rsidR="00CF315A" w:rsidRPr="00CF315A">
        <w:rPr>
          <w:rFonts w:cstheme="minorHAnsi"/>
        </w:rPr>
        <w:t>en raison d’aléa</w:t>
      </w:r>
      <w:r w:rsidR="00332E50">
        <w:rPr>
          <w:rFonts w:cstheme="minorHAnsi"/>
        </w:rPr>
        <w:t>s</w:t>
      </w:r>
      <w:r w:rsidR="00CF315A" w:rsidRPr="00CF315A">
        <w:rPr>
          <w:rFonts w:cstheme="minorHAnsi"/>
        </w:rPr>
        <w:t xml:space="preserve"> climatique</w:t>
      </w:r>
      <w:r w:rsidR="00332E50">
        <w:rPr>
          <w:rFonts w:cstheme="minorHAnsi"/>
        </w:rPr>
        <w:t>s</w:t>
      </w:r>
      <w:r w:rsidR="00CF315A" w:rsidRPr="00CF315A">
        <w:rPr>
          <w:rFonts w:cstheme="minorHAnsi"/>
        </w:rPr>
        <w:t xml:space="preserve"> pour au moins une des cultures sinistrées éligibles au présent dispositif</w:t>
      </w:r>
      <w:r w:rsidR="00BC1B5F">
        <w:rPr>
          <w:rStyle w:val="Appelnotedebasdep"/>
          <w:rFonts w:cstheme="minorHAnsi"/>
        </w:rPr>
        <w:footnoteReference w:id="4"/>
      </w:r>
      <w:r w:rsidR="00CF315A" w:rsidRPr="00CF315A">
        <w:rPr>
          <w:rFonts w:cstheme="minorHAnsi"/>
        </w:rPr>
        <w:t> :</w:t>
      </w:r>
    </w:p>
    <w:p w14:paraId="09807F03" w14:textId="77777777" w:rsidR="00775C93" w:rsidRDefault="00775C93" w:rsidP="00036C12">
      <w:pPr>
        <w:spacing w:after="0"/>
        <w:jc w:val="both"/>
        <w:rPr>
          <w:rFonts w:cstheme="minorHAnsi"/>
        </w:rPr>
      </w:pPr>
    </w:p>
    <w:p w14:paraId="219540A7" w14:textId="77777777" w:rsidR="003F2112" w:rsidRDefault="00916D84" w:rsidP="00036C12">
      <w:pPr>
        <w:spacing w:after="0"/>
        <w:jc w:val="both"/>
        <w:rPr>
          <w:rFonts w:cstheme="minorHAnsi"/>
        </w:rPr>
      </w:pPr>
      <w:r w:rsidRPr="00603C86">
        <w:rPr>
          <w:rFonts w:cstheme="minorHAnsi"/>
          <w:b/>
        </w:rPr>
        <w:t xml:space="preserve">Type de contrat : </w:t>
      </w:r>
      <w:r w:rsidR="00603C86">
        <w:rPr>
          <w:rFonts w:cstheme="minorHAnsi"/>
          <w:b/>
        </w:rPr>
        <w:t xml:space="preserve"> </w:t>
      </w:r>
      <w:r w:rsidRPr="003F2112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3F2112">
        <w:rPr>
          <w:rFonts w:eastAsia="MS Gothic" w:cstheme="minorHAnsi"/>
        </w:rPr>
        <w:instrText xml:space="preserve"> FORMCHECKBOX </w:instrText>
      </w:r>
      <w:r w:rsidR="00BC023C">
        <w:rPr>
          <w:rFonts w:eastAsia="MS Gothic" w:cstheme="minorHAnsi"/>
        </w:rPr>
      </w:r>
      <w:r w:rsidR="00BC023C">
        <w:rPr>
          <w:rFonts w:eastAsia="MS Gothic" w:cstheme="minorHAnsi"/>
        </w:rPr>
        <w:fldChar w:fldCharType="separate"/>
      </w:r>
      <w:r w:rsidRPr="003F2112">
        <w:rPr>
          <w:rFonts w:eastAsia="MS Gothic" w:cstheme="minorHAnsi"/>
        </w:rPr>
        <w:fldChar w:fldCharType="end"/>
      </w:r>
      <w:bookmarkEnd w:id="1"/>
      <w:r w:rsidR="003F2112" w:rsidRPr="003F2112">
        <w:rPr>
          <w:rFonts w:eastAsia="MS Gothic" w:cstheme="minorHAnsi"/>
        </w:rPr>
        <w:t xml:space="preserve">  </w:t>
      </w:r>
      <w:r w:rsidR="003F2112" w:rsidRPr="003F2112">
        <w:rPr>
          <w:rFonts w:cstheme="minorHAnsi"/>
        </w:rPr>
        <w:t xml:space="preserve">contrat Multirisques Climatiques (« MRC ») </w:t>
      </w:r>
      <w:r w:rsidR="00603C86">
        <w:rPr>
          <w:rFonts w:eastAsia="MS Gothic" w:cstheme="minorHAnsi"/>
        </w:rPr>
        <w:t xml:space="preserve">          </w:t>
      </w:r>
      <w:r w:rsidR="003F2112" w:rsidRPr="003F2112">
        <w:rPr>
          <w:rFonts w:cstheme="minorHAnsi"/>
        </w:rPr>
        <w:t xml:space="preserve"> </w:t>
      </w:r>
      <w:r w:rsidR="003F2112" w:rsidRPr="003F2112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F2112" w:rsidRPr="003F2112">
        <w:rPr>
          <w:rFonts w:eastAsia="MS Gothic" w:cstheme="minorHAnsi"/>
        </w:rPr>
        <w:instrText xml:space="preserve"> FORMCHECKBOX </w:instrText>
      </w:r>
      <w:r w:rsidR="00BC023C">
        <w:rPr>
          <w:rFonts w:eastAsia="MS Gothic" w:cstheme="minorHAnsi"/>
        </w:rPr>
      </w:r>
      <w:r w:rsidR="00BC023C">
        <w:rPr>
          <w:rFonts w:eastAsia="MS Gothic" w:cstheme="minorHAnsi"/>
        </w:rPr>
        <w:fldChar w:fldCharType="separate"/>
      </w:r>
      <w:r w:rsidR="003F2112" w:rsidRPr="003F2112">
        <w:rPr>
          <w:rFonts w:eastAsia="MS Gothic" w:cstheme="minorHAnsi"/>
        </w:rPr>
        <w:fldChar w:fldCharType="end"/>
      </w:r>
      <w:r w:rsidR="003F2112" w:rsidRPr="003F2112">
        <w:rPr>
          <w:rFonts w:cstheme="minorHAnsi"/>
        </w:rPr>
        <w:t xml:space="preserve"> contrat grêle / </w:t>
      </w:r>
      <w:r w:rsidR="003F2112">
        <w:rPr>
          <w:rFonts w:cstheme="minorHAnsi"/>
        </w:rPr>
        <w:t>tempête</w:t>
      </w:r>
    </w:p>
    <w:p w14:paraId="059AAB75" w14:textId="71BB3D04" w:rsidR="00036C12" w:rsidRDefault="003F2112" w:rsidP="00B9016F">
      <w:pPr>
        <w:spacing w:after="0"/>
        <w:ind w:left="6372"/>
        <w:rPr>
          <w:rFonts w:eastAsia="MS Gothic" w:cstheme="minorHAnsi"/>
          <w:b/>
        </w:rPr>
      </w:pPr>
      <w:r>
        <w:rPr>
          <w:rFonts w:cstheme="minorHAnsi"/>
        </w:rPr>
        <w:t xml:space="preserve">         </w:t>
      </w:r>
      <w:r w:rsidRPr="003F2112">
        <w:rPr>
          <w:rFonts w:cstheme="minorHAnsi"/>
        </w:rPr>
        <w:t>avec une extension gel</w:t>
      </w:r>
    </w:p>
    <w:p w14:paraId="19B057E9" w14:textId="77777777" w:rsidR="00036C12" w:rsidRPr="00603C86" w:rsidRDefault="00036C12">
      <w:pPr>
        <w:rPr>
          <w:rFonts w:eastAsia="MS Gothic" w:cstheme="minorHAnsi"/>
          <w:b/>
        </w:rPr>
      </w:pPr>
      <w:r>
        <w:rPr>
          <w:rFonts w:eastAsia="MS Gothic" w:cstheme="minorHAnsi"/>
          <w:b/>
        </w:rPr>
        <w:lastRenderedPageBreak/>
        <w:t>Indemnisation perçue au titre du contrat souscrit :</w:t>
      </w:r>
    </w:p>
    <w:p w14:paraId="1D294629" w14:textId="77777777" w:rsidR="003F2112" w:rsidRPr="003F2112" w:rsidRDefault="003F2112">
      <w:pPr>
        <w:rPr>
          <w:rFonts w:eastAsia="MS Gothic" w:cstheme="minorHAnsi"/>
        </w:rPr>
      </w:pPr>
    </w:p>
    <w:tbl>
      <w:tblPr>
        <w:tblStyle w:val="Grilledutableau1"/>
        <w:tblW w:w="11210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1467"/>
        <w:gridCol w:w="2077"/>
        <w:gridCol w:w="1276"/>
        <w:gridCol w:w="1175"/>
        <w:gridCol w:w="1376"/>
        <w:gridCol w:w="1170"/>
        <w:gridCol w:w="1332"/>
        <w:gridCol w:w="1337"/>
      </w:tblGrid>
      <w:tr w:rsidR="00B95117" w:rsidRPr="000B26A3" w14:paraId="3ADA5767" w14:textId="77777777" w:rsidTr="00B110E4">
        <w:trPr>
          <w:trHeight w:val="1358"/>
        </w:trPr>
        <w:tc>
          <w:tcPr>
            <w:tcW w:w="1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DFD41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3369785C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Type de culture </w:t>
            </w:r>
            <w:r w:rsidRPr="00B110E4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(à indiquer strictement selon la typologie précisée ci-dessous*)</w:t>
            </w:r>
          </w:p>
        </w:tc>
        <w:tc>
          <w:tcPr>
            <w:tcW w:w="2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3B41C7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2C575FC3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>Nature de récolte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01880B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68CCDD6B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>Superficie assurée (ha, à deux décimales)</w:t>
            </w:r>
          </w:p>
        </w:tc>
        <w:tc>
          <w:tcPr>
            <w:tcW w:w="37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574065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 xml:space="preserve">Indiquer : </w:t>
            </w:r>
          </w:p>
          <w:p w14:paraId="2C4E1319" w14:textId="77777777" w:rsidR="00B95117" w:rsidRPr="00B110E4" w:rsidRDefault="00B95117" w:rsidP="00B95117">
            <w:pPr>
              <w:pStyle w:val="Paragraphedeliste"/>
              <w:numPr>
                <w:ilvl w:val="0"/>
                <w:numId w:val="4"/>
              </w:numPr>
              <w:spacing w:before="0"/>
              <w:ind w:left="358"/>
              <w:jc w:val="left"/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</w:pPr>
            <w:r w:rsidRPr="00250A42">
              <w:rPr>
                <w:rFonts w:asciiTheme="minorHAnsi" w:eastAsia="MS Gothic" w:hAnsiTheme="minorHAnsi" w:cstheme="minorHAnsi"/>
                <w:i/>
                <w:sz w:val="16"/>
                <w:szCs w:val="16"/>
                <w:u w:val="single"/>
              </w:rPr>
              <w:t>Soit</w:t>
            </w:r>
            <w:r w:rsidRPr="00B110E4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 xml:space="preserve"> le prix et le rendement assuré ;</w:t>
            </w:r>
          </w:p>
          <w:p w14:paraId="4A3F6698" w14:textId="73D50FB3" w:rsidR="00B95117" w:rsidRPr="00B110E4" w:rsidRDefault="00B95117" w:rsidP="009143F1">
            <w:pPr>
              <w:pStyle w:val="Paragraphedeliste"/>
              <w:numPr>
                <w:ilvl w:val="0"/>
                <w:numId w:val="4"/>
              </w:numPr>
              <w:spacing w:before="0"/>
              <w:ind w:left="358"/>
              <w:jc w:val="left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  <w:r w:rsidRPr="00250A42">
              <w:rPr>
                <w:rFonts w:asciiTheme="minorHAnsi" w:eastAsia="MS Gothic" w:hAnsiTheme="minorHAnsi" w:cstheme="minorHAnsi"/>
                <w:i/>
                <w:sz w:val="16"/>
                <w:szCs w:val="16"/>
                <w:u w:val="single"/>
              </w:rPr>
              <w:t>Soit</w:t>
            </w:r>
            <w:r w:rsidRPr="00B110E4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 xml:space="preserve"> le capital assuré, lorsque les données de prix et de rendement ne sont pas disponibles (</w:t>
            </w:r>
            <w:r w:rsidR="009143F1" w:rsidRPr="009143F1">
              <w:rPr>
                <w:rFonts w:asciiTheme="minorHAnsi" w:eastAsia="MS Gothic" w:hAnsiTheme="minorHAnsi" w:cstheme="minorHAnsi"/>
                <w:i/>
                <w:sz w:val="16"/>
                <w:szCs w:val="16"/>
                <w:u w:val="single"/>
              </w:rPr>
              <w:t>uniquement</w:t>
            </w:r>
            <w:r w:rsidR="009143F1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 xml:space="preserve"> </w:t>
            </w:r>
            <w:r w:rsidRPr="00B110E4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>pour certains contrats grêle / tempête)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4FBE1D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73D6A20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>Taux de perte de récolte lié aux aléas climatique</w:t>
            </w:r>
            <w:r w:rsidRPr="00B110E4">
              <w:rPr>
                <w:rStyle w:val="Appelnotedebasdep"/>
                <w:rFonts w:asciiTheme="minorHAnsi" w:eastAsia="MS Gothic" w:hAnsiTheme="minorHAnsi" w:cstheme="minorHAnsi"/>
                <w:sz w:val="18"/>
                <w:szCs w:val="18"/>
              </w:rPr>
              <w:footnoteReference w:id="5"/>
            </w:r>
          </w:p>
          <w:p w14:paraId="0A1D36C1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CA3799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1C3A5DF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Indemnité versée </w:t>
            </w:r>
          </w:p>
          <w:p w14:paraId="79BF4C2D" w14:textId="77777777" w:rsidR="00B95117" w:rsidRPr="00B110E4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10E4">
              <w:rPr>
                <w:rFonts w:asciiTheme="minorHAnsi" w:eastAsia="MS Gothic" w:hAnsiTheme="minorHAnsi" w:cstheme="minorHAnsi"/>
                <w:sz w:val="18"/>
                <w:szCs w:val="18"/>
              </w:rPr>
              <w:t>(€)</w:t>
            </w:r>
          </w:p>
        </w:tc>
      </w:tr>
      <w:tr w:rsidR="00B95117" w:rsidRPr="000B26A3" w14:paraId="6A0CBF55" w14:textId="77777777" w:rsidTr="00B110E4">
        <w:trPr>
          <w:trHeight w:val="732"/>
        </w:trPr>
        <w:tc>
          <w:tcPr>
            <w:tcW w:w="14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7EA66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83F0A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69BB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8" w:space="0" w:color="auto"/>
              <w:bottom w:val="single" w:sz="18" w:space="0" w:color="auto"/>
            </w:tcBorders>
          </w:tcPr>
          <w:p w14:paraId="440FF197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95117">
              <w:rPr>
                <w:rFonts w:eastAsia="MS Gothic" w:cstheme="minorHAnsi"/>
                <w:sz w:val="18"/>
                <w:szCs w:val="18"/>
              </w:rPr>
              <w:t xml:space="preserve">Prix assuré </w:t>
            </w:r>
          </w:p>
          <w:p w14:paraId="32B412B6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95117">
              <w:rPr>
                <w:rFonts w:eastAsia="MS Gothic" w:cstheme="minorHAnsi"/>
                <w:sz w:val="18"/>
                <w:szCs w:val="18"/>
              </w:rPr>
              <w:t>(€)</w:t>
            </w:r>
          </w:p>
        </w:tc>
        <w:tc>
          <w:tcPr>
            <w:tcW w:w="1376" w:type="dxa"/>
            <w:tcBorders>
              <w:bottom w:val="single" w:sz="18" w:space="0" w:color="auto"/>
              <w:right w:val="single" w:sz="18" w:space="0" w:color="auto"/>
            </w:tcBorders>
          </w:tcPr>
          <w:p w14:paraId="413E9653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95117">
              <w:rPr>
                <w:rFonts w:eastAsia="MS Gothic" w:cstheme="minorHAnsi"/>
                <w:sz w:val="18"/>
                <w:szCs w:val="18"/>
              </w:rPr>
              <w:t xml:space="preserve">Rendement assuré </w:t>
            </w:r>
          </w:p>
          <w:p w14:paraId="1919CF90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95117">
              <w:rPr>
                <w:rFonts w:eastAsia="MS Gothic" w:cstheme="minorHAnsi"/>
                <w:sz w:val="18"/>
                <w:szCs w:val="18"/>
              </w:rPr>
              <w:t>(</w:t>
            </w:r>
            <w:r w:rsidRPr="009143F1">
              <w:rPr>
                <w:rFonts w:eastAsia="MS Gothic" w:cstheme="minorHAnsi"/>
                <w:sz w:val="18"/>
                <w:szCs w:val="18"/>
                <w:u w:val="single"/>
              </w:rPr>
              <w:t>chiffre et unité</w:t>
            </w:r>
            <w:r w:rsidRPr="00B95117">
              <w:rPr>
                <w:rFonts w:eastAsia="MS Gothic" w:cstheme="minorHAnsi"/>
                <w:sz w:val="18"/>
                <w:szCs w:val="18"/>
              </w:rPr>
              <w:t xml:space="preserve"> utilisés dans le contrat (ex : t/ha ou hl/ha ou kg/ha), à deux décimales)</w:t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C7FE3" w14:textId="34C24CA4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95117">
              <w:rPr>
                <w:rFonts w:eastAsia="MS Gothic" w:cstheme="minorHAnsi"/>
                <w:sz w:val="18"/>
                <w:szCs w:val="18"/>
              </w:rPr>
              <w:t>Capital assuré</w:t>
            </w:r>
            <w:r w:rsidR="009143F1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="009143F1" w:rsidRPr="009143F1">
              <w:rPr>
                <w:rFonts w:eastAsia="MS Gothic" w:cstheme="minorHAnsi"/>
                <w:sz w:val="18"/>
                <w:szCs w:val="18"/>
                <w:u w:val="single"/>
              </w:rPr>
              <w:t>à l’ha</w:t>
            </w:r>
            <w:r w:rsidRPr="00B95117">
              <w:rPr>
                <w:rFonts w:eastAsia="MS Gothic" w:cstheme="minorHAnsi"/>
                <w:sz w:val="18"/>
                <w:szCs w:val="18"/>
              </w:rPr>
              <w:t xml:space="preserve"> (€</w:t>
            </w:r>
            <w:r w:rsidR="009143F1">
              <w:rPr>
                <w:rFonts w:eastAsia="MS Gothic" w:cstheme="minorHAnsi"/>
                <w:sz w:val="18"/>
                <w:szCs w:val="18"/>
              </w:rPr>
              <w:t xml:space="preserve"> / ha</w:t>
            </w:r>
            <w:r w:rsidRPr="00B95117">
              <w:rPr>
                <w:rFonts w:eastAsia="MS Gothic" w:cstheme="minorHAnsi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E043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2380B" w14:textId="77777777" w:rsidR="00B95117" w:rsidRPr="00C83205" w:rsidRDefault="00B95117" w:rsidP="009F33C5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</w:tr>
      <w:tr w:rsidR="00B95117" w:rsidRPr="003F2112" w14:paraId="165602C2" w14:textId="77777777" w:rsidTr="00B110E4">
        <w:trPr>
          <w:trHeight w:val="1102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1508B5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FBBFA6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  <w:p w14:paraId="27F4307A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F484D2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</w:tcBorders>
          </w:tcPr>
          <w:p w14:paraId="08985797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76" w:type="dxa"/>
            <w:tcBorders>
              <w:top w:val="single" w:sz="18" w:space="0" w:color="auto"/>
              <w:right w:val="single" w:sz="18" w:space="0" w:color="auto"/>
            </w:tcBorders>
          </w:tcPr>
          <w:p w14:paraId="5764F387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DF5A4F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98617D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E0DB9D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B95117" w:rsidRPr="003F2112" w14:paraId="7578E1F1" w14:textId="77777777" w:rsidTr="00B110E4">
        <w:trPr>
          <w:trHeight w:val="1102"/>
        </w:trPr>
        <w:tc>
          <w:tcPr>
            <w:tcW w:w="1467" w:type="dxa"/>
            <w:tcBorders>
              <w:left w:val="single" w:sz="18" w:space="0" w:color="auto"/>
              <w:right w:val="single" w:sz="18" w:space="0" w:color="auto"/>
            </w:tcBorders>
          </w:tcPr>
          <w:p w14:paraId="7CB49574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2077" w:type="dxa"/>
            <w:tcBorders>
              <w:left w:val="single" w:sz="18" w:space="0" w:color="auto"/>
              <w:right w:val="single" w:sz="18" w:space="0" w:color="auto"/>
            </w:tcBorders>
          </w:tcPr>
          <w:p w14:paraId="36D68032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  <w:p w14:paraId="5E00DE25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257256E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5" w:type="dxa"/>
            <w:tcBorders>
              <w:left w:val="single" w:sz="18" w:space="0" w:color="auto"/>
            </w:tcBorders>
          </w:tcPr>
          <w:p w14:paraId="4443CDB2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7836EC3E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6E120AC5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</w:tcPr>
          <w:p w14:paraId="45341855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7A965CF3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B95117" w:rsidRPr="003F2112" w14:paraId="0ADF1C07" w14:textId="77777777" w:rsidTr="00B110E4">
        <w:trPr>
          <w:trHeight w:val="1102"/>
        </w:trPr>
        <w:tc>
          <w:tcPr>
            <w:tcW w:w="1467" w:type="dxa"/>
            <w:tcBorders>
              <w:left w:val="single" w:sz="18" w:space="0" w:color="auto"/>
              <w:right w:val="single" w:sz="18" w:space="0" w:color="auto"/>
            </w:tcBorders>
          </w:tcPr>
          <w:p w14:paraId="3980CA92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2077" w:type="dxa"/>
            <w:tcBorders>
              <w:left w:val="single" w:sz="18" w:space="0" w:color="auto"/>
              <w:right w:val="single" w:sz="18" w:space="0" w:color="auto"/>
            </w:tcBorders>
          </w:tcPr>
          <w:p w14:paraId="1CE80BCC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  <w:p w14:paraId="0D1952E6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1F8E0777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5" w:type="dxa"/>
            <w:tcBorders>
              <w:left w:val="single" w:sz="18" w:space="0" w:color="auto"/>
            </w:tcBorders>
          </w:tcPr>
          <w:p w14:paraId="26C125C4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5AD29942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C4E56A3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</w:tcPr>
          <w:p w14:paraId="445E8701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14:paraId="796DF864" w14:textId="77777777" w:rsidR="00B95117" w:rsidRPr="00B110E4" w:rsidRDefault="00B95117" w:rsidP="009F33C5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B95117" w:rsidRPr="003F2112" w14:paraId="75EE16F2" w14:textId="77777777" w:rsidTr="00B110E4">
        <w:trPr>
          <w:trHeight w:val="1068"/>
        </w:trPr>
        <w:tc>
          <w:tcPr>
            <w:tcW w:w="1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2EA39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20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05098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  <w:p w14:paraId="58C0A06C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73AD4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175" w:type="dxa"/>
            <w:tcBorders>
              <w:left w:val="single" w:sz="18" w:space="0" w:color="auto"/>
              <w:bottom w:val="single" w:sz="18" w:space="0" w:color="auto"/>
            </w:tcBorders>
          </w:tcPr>
          <w:p w14:paraId="0BF8D0ED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376" w:type="dxa"/>
            <w:tcBorders>
              <w:bottom w:val="single" w:sz="18" w:space="0" w:color="auto"/>
              <w:right w:val="single" w:sz="18" w:space="0" w:color="auto"/>
            </w:tcBorders>
          </w:tcPr>
          <w:p w14:paraId="6373DBF4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A00E5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1488D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  <w:tc>
          <w:tcPr>
            <w:tcW w:w="1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930B3" w14:textId="77777777" w:rsidR="00B95117" w:rsidRPr="00B110E4" w:rsidRDefault="00B95117" w:rsidP="009F33C5">
            <w:pPr>
              <w:rPr>
                <w:rFonts w:ascii="Arial" w:eastAsia="MS Gothic" w:hAnsi="Arial" w:cs="Arial"/>
              </w:rPr>
            </w:pPr>
          </w:p>
        </w:tc>
      </w:tr>
    </w:tbl>
    <w:p w14:paraId="5BC2B445" w14:textId="2A0CFCAB" w:rsidR="00E75711" w:rsidRDefault="00E75711" w:rsidP="003E7312">
      <w:pPr>
        <w:spacing w:after="0" w:line="240" w:lineRule="auto"/>
      </w:pPr>
    </w:p>
    <w:p w14:paraId="4F45EA50" w14:textId="4C7A8977" w:rsidR="00B95117" w:rsidRDefault="00B95117" w:rsidP="003E7312">
      <w:pPr>
        <w:spacing w:after="0" w:line="240" w:lineRule="auto"/>
      </w:pPr>
    </w:p>
    <w:p w14:paraId="13F8719A" w14:textId="77777777" w:rsidR="00B95117" w:rsidRPr="00B110E4" w:rsidRDefault="00B95117" w:rsidP="003E7312">
      <w:pPr>
        <w:spacing w:after="0" w:line="240" w:lineRule="auto"/>
        <w:rPr>
          <w:rFonts w:cstheme="minorHAnsi"/>
        </w:rPr>
      </w:pPr>
    </w:p>
    <w:p w14:paraId="6C2AF5C7" w14:textId="29527797" w:rsidR="003E7312" w:rsidRPr="00C83205" w:rsidRDefault="00E40A78" w:rsidP="003E7312">
      <w:pPr>
        <w:spacing w:after="0" w:line="240" w:lineRule="auto"/>
        <w:rPr>
          <w:rFonts w:cstheme="minorHAnsi"/>
        </w:rPr>
      </w:pPr>
      <w:r w:rsidRPr="00B9016F">
        <w:rPr>
          <w:rFonts w:cstheme="minorHAnsi"/>
        </w:rPr>
        <w:t>*</w:t>
      </w:r>
      <w:r w:rsidR="003E7312" w:rsidRPr="00C83205">
        <w:rPr>
          <w:rFonts w:cstheme="minorHAnsi"/>
        </w:rPr>
        <w:t xml:space="preserve">Typologie des cultures éligibles : </w:t>
      </w:r>
    </w:p>
    <w:p w14:paraId="4723B5E6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C83205">
        <w:rPr>
          <w:rFonts w:cstheme="minorHAnsi"/>
        </w:rPr>
        <w:t>-</w:t>
      </w:r>
      <w:r w:rsidRPr="00B110E4">
        <w:rPr>
          <w:rFonts w:cstheme="minorHAnsi"/>
          <w:sz w:val="16"/>
          <w:lang w:eastAsia="fr-FR"/>
        </w:rPr>
        <w:t>arbres fruitiers</w:t>
      </w:r>
    </w:p>
    <w:p w14:paraId="400613E5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-petits fruits</w:t>
      </w:r>
    </w:p>
    <w:p w14:paraId="4435FBC7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-betterave sucrière ou semence betteraves sucrière</w:t>
      </w:r>
    </w:p>
    <w:p w14:paraId="6608D4FC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-colza ou semence colza</w:t>
      </w:r>
    </w:p>
    <w:p w14:paraId="7BDFC3A0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-lin ou semence lin</w:t>
      </w:r>
    </w:p>
    <w:p w14:paraId="5260C989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-houblon ou semence houblon</w:t>
      </w:r>
    </w:p>
    <w:p w14:paraId="662062B6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-raisin de cuve</w:t>
      </w:r>
    </w:p>
    <w:p w14:paraId="0377C713" w14:textId="77777777" w:rsidR="003E7312" w:rsidRPr="00B110E4" w:rsidRDefault="003E7312" w:rsidP="00E40A78">
      <w:pPr>
        <w:spacing w:after="0" w:line="240" w:lineRule="auto"/>
        <w:ind w:left="709"/>
        <w:rPr>
          <w:rFonts w:cstheme="minorHAnsi"/>
        </w:rPr>
      </w:pPr>
      <w:r w:rsidRPr="00B110E4">
        <w:rPr>
          <w:rFonts w:cstheme="minorHAnsi"/>
          <w:sz w:val="16"/>
          <w:lang w:eastAsia="fr-FR"/>
        </w:rPr>
        <w:t>-raisin de table </w:t>
      </w:r>
    </w:p>
    <w:p w14:paraId="251CC70C" w14:textId="77777777" w:rsidR="003E7312" w:rsidRDefault="003E7312" w:rsidP="003E7312">
      <w:pPr>
        <w:spacing w:after="0"/>
        <w:rPr>
          <w:rFonts w:ascii="MS Gothic" w:eastAsia="MS Gothic" w:hAnsi="MS Gothic"/>
        </w:rPr>
      </w:pPr>
    </w:p>
    <w:p w14:paraId="5C0CD21A" w14:textId="77777777" w:rsidR="00CF5F2D" w:rsidRPr="00CF5F2D" w:rsidRDefault="00CF5F2D" w:rsidP="00CF5F2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CF5F2D">
        <w:rPr>
          <w:rFonts w:ascii="Calibri" w:eastAsia="Times New Roman" w:hAnsi="Calibri" w:cs="Calibri"/>
          <w:sz w:val="24"/>
          <w:szCs w:val="20"/>
          <w:lang w:eastAsia="zh-CN"/>
        </w:rPr>
        <w:t>Pour valoir ce que de droit,</w:t>
      </w:r>
    </w:p>
    <w:p w14:paraId="72E518DE" w14:textId="77777777" w:rsidR="00916D84" w:rsidRDefault="00916D84"/>
    <w:p w14:paraId="59F7EC4A" w14:textId="77777777" w:rsidR="00036C12" w:rsidRPr="00036C12" w:rsidRDefault="00036C12" w:rsidP="00036C1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C12">
        <w:rPr>
          <w:i/>
        </w:rPr>
        <w:t>Signature de l’assureur</w:t>
      </w:r>
    </w:p>
    <w:sectPr w:rsidR="00036C12" w:rsidRPr="00036C12" w:rsidSect="00C372B1">
      <w:footerReference w:type="default" r:id="rId8"/>
      <w:pgSz w:w="11906" w:h="16838"/>
      <w:pgMar w:top="1135" w:right="1417" w:bottom="1135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CAF5" w14:textId="77777777" w:rsidR="003F2112" w:rsidRDefault="003F2112" w:rsidP="003F2112">
      <w:pPr>
        <w:spacing w:after="0" w:line="240" w:lineRule="auto"/>
      </w:pPr>
      <w:r>
        <w:separator/>
      </w:r>
    </w:p>
  </w:endnote>
  <w:endnote w:type="continuationSeparator" w:id="0">
    <w:p w14:paraId="3BEEE755" w14:textId="77777777" w:rsidR="003F2112" w:rsidRDefault="003F2112" w:rsidP="003F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85C524" w14:textId="38259CCF" w:rsidR="00BC1B5F" w:rsidRDefault="00BC1B5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2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2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8A968" w14:textId="77777777" w:rsidR="00036C12" w:rsidRDefault="00036C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B44C" w14:textId="77777777" w:rsidR="003F2112" w:rsidRDefault="003F2112" w:rsidP="003F2112">
      <w:pPr>
        <w:spacing w:after="0" w:line="240" w:lineRule="auto"/>
      </w:pPr>
      <w:r>
        <w:separator/>
      </w:r>
    </w:p>
  </w:footnote>
  <w:footnote w:type="continuationSeparator" w:id="0">
    <w:p w14:paraId="2997FD68" w14:textId="77777777" w:rsidR="003F2112" w:rsidRDefault="003F2112" w:rsidP="003F2112">
      <w:pPr>
        <w:spacing w:after="0" w:line="240" w:lineRule="auto"/>
      </w:pPr>
      <w:r>
        <w:continuationSeparator/>
      </w:r>
    </w:p>
  </w:footnote>
  <w:footnote w:id="1">
    <w:p w14:paraId="0E869AD9" w14:textId="49B9FF46" w:rsidR="00330B38" w:rsidRDefault="00330B3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C372B1">
          <w:rPr>
            <w:rStyle w:val="Lienhypertexte"/>
            <w:sz w:val="18"/>
          </w:rPr>
          <w:t>https://www.franceagrimer.fr/Accompagner/Dispositifs-par-filiere/Aides-de-crise/GEL-assures</w:t>
        </w:r>
      </w:hyperlink>
      <w:r w:rsidRPr="00C372B1">
        <w:rPr>
          <w:sz w:val="18"/>
        </w:rPr>
        <w:t xml:space="preserve"> </w:t>
      </w:r>
    </w:p>
  </w:footnote>
  <w:footnote w:id="2">
    <w:p w14:paraId="75A0DAF7" w14:textId="77777777" w:rsidR="00036C12" w:rsidRDefault="00036C12">
      <w:pPr>
        <w:pStyle w:val="Notedebasdepage"/>
      </w:pPr>
      <w:r>
        <w:rPr>
          <w:rStyle w:val="Appelnotedebasdep"/>
        </w:rPr>
        <w:footnoteRef/>
      </w:r>
      <w:r>
        <w:t xml:space="preserve"> Assureur</w:t>
      </w:r>
    </w:p>
  </w:footnote>
  <w:footnote w:id="3">
    <w:p w14:paraId="36FD2EE4" w14:textId="4DDFD73A" w:rsidR="00036C12" w:rsidRDefault="00036C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E4560">
        <w:rPr>
          <w:sz w:val="18"/>
        </w:rPr>
        <w:t>Raison sociale de l’</w:t>
      </w:r>
      <w:r w:rsidR="00BC1B5F" w:rsidRPr="001722BF">
        <w:rPr>
          <w:sz w:val="18"/>
        </w:rPr>
        <w:t xml:space="preserve">exploitation </w:t>
      </w:r>
      <w:r w:rsidRPr="001722BF">
        <w:rPr>
          <w:sz w:val="18"/>
        </w:rPr>
        <w:t>assuré</w:t>
      </w:r>
      <w:r w:rsidR="00DE4560">
        <w:rPr>
          <w:sz w:val="18"/>
        </w:rPr>
        <w:t>e</w:t>
      </w:r>
    </w:p>
  </w:footnote>
  <w:footnote w:id="4">
    <w:p w14:paraId="29FCAFBB" w14:textId="77777777" w:rsidR="00BC1B5F" w:rsidRPr="003F2112" w:rsidRDefault="00BC1B5F" w:rsidP="00BC1B5F">
      <w:pPr>
        <w:spacing w:after="0"/>
        <w:rPr>
          <w:rFonts w:cstheme="minorHAns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3F2112">
        <w:rPr>
          <w:rFonts w:cstheme="minorHAnsi"/>
          <w:sz w:val="18"/>
          <w:szCs w:val="18"/>
        </w:rPr>
        <w:t xml:space="preserve">Les cultures sinistrées éligibles sont : </w:t>
      </w:r>
    </w:p>
    <w:p w14:paraId="5DEE56AC" w14:textId="77777777" w:rsidR="00BC1B5F" w:rsidRPr="00BC1B5F" w:rsidRDefault="00BC1B5F" w:rsidP="008358A7">
      <w:pPr>
        <w:pStyle w:val="Paragraphedeliste"/>
        <w:numPr>
          <w:ilvl w:val="0"/>
          <w:numId w:val="2"/>
        </w:numPr>
        <w:spacing w:before="0"/>
      </w:pPr>
      <w:r w:rsidRPr="00BC1B5F">
        <w:rPr>
          <w:rFonts w:asciiTheme="minorHAnsi" w:hAnsiTheme="minorHAnsi" w:cstheme="minorHAnsi"/>
          <w:sz w:val="18"/>
          <w:szCs w:val="18"/>
        </w:rPr>
        <w:t>betterave sucrière, colza, houblon, lin et les semence</w:t>
      </w:r>
      <w:r w:rsidR="003E7312">
        <w:rPr>
          <w:rFonts w:asciiTheme="minorHAnsi" w:hAnsiTheme="minorHAnsi" w:cstheme="minorHAnsi"/>
          <w:sz w:val="18"/>
          <w:szCs w:val="18"/>
        </w:rPr>
        <w:t>s</w:t>
      </w:r>
      <w:r w:rsidRPr="00BC1B5F">
        <w:rPr>
          <w:rFonts w:asciiTheme="minorHAnsi" w:hAnsiTheme="minorHAnsi" w:cstheme="minorHAnsi"/>
          <w:sz w:val="18"/>
          <w:szCs w:val="18"/>
        </w:rPr>
        <w:t xml:space="preserve"> de ces cultures,</w:t>
      </w:r>
    </w:p>
    <w:p w14:paraId="1B7FF81A" w14:textId="77777777" w:rsidR="00BC1B5F" w:rsidRDefault="00BC1B5F" w:rsidP="008358A7">
      <w:pPr>
        <w:pStyle w:val="Paragraphedeliste"/>
        <w:numPr>
          <w:ilvl w:val="0"/>
          <w:numId w:val="2"/>
        </w:numPr>
        <w:spacing w:before="0"/>
      </w:pPr>
      <w:r w:rsidRPr="00BC1B5F">
        <w:rPr>
          <w:rFonts w:asciiTheme="minorHAnsi" w:hAnsiTheme="minorHAnsi" w:cstheme="minorHAnsi"/>
          <w:sz w:val="18"/>
          <w:szCs w:val="18"/>
        </w:rPr>
        <w:t>arbres fruitiers, petits fruits, vigne à raisin table et vigne à raisin de cuve</w:t>
      </w:r>
    </w:p>
  </w:footnote>
  <w:footnote w:id="5">
    <w:p w14:paraId="49F32C89" w14:textId="77777777" w:rsidR="00B95117" w:rsidRDefault="00B95117" w:rsidP="00B9511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75C93">
        <w:rPr>
          <w:sz w:val="18"/>
        </w:rPr>
        <w:t>Le taux de perte doit être supérieur à 30%</w:t>
      </w:r>
      <w:r>
        <w:rPr>
          <w:sz w:val="18"/>
        </w:rPr>
        <w:t xml:space="preserve">, </w:t>
      </w:r>
      <w:r>
        <w:rPr>
          <w:sz w:val="18"/>
          <w:szCs w:val="18"/>
        </w:rPr>
        <w:t>a</w:t>
      </w:r>
      <w:r w:rsidRPr="00CF315A">
        <w:rPr>
          <w:sz w:val="18"/>
          <w:szCs w:val="18"/>
        </w:rPr>
        <w:t>léas sanitaires exclus</w:t>
      </w:r>
      <w:r>
        <w:rPr>
          <w:sz w:val="18"/>
          <w:szCs w:val="18"/>
        </w:rPr>
        <w:t xml:space="preserve">, </w:t>
      </w:r>
      <w:r>
        <w:rPr>
          <w:sz w:val="18"/>
        </w:rPr>
        <w:t xml:space="preserve">pour que la demande au titre du </w:t>
      </w:r>
      <w:r w:rsidRPr="00F07D2A">
        <w:rPr>
          <w:sz w:val="18"/>
        </w:rPr>
        <w:t xml:space="preserve">dispositif d’indemnisation complémentaire </w:t>
      </w:r>
      <w:r>
        <w:rPr>
          <w:sz w:val="18"/>
        </w:rPr>
        <w:t>soit éligible</w:t>
      </w:r>
      <w:r w:rsidRPr="00CF315A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A5E"/>
    <w:multiLevelType w:val="hybridMultilevel"/>
    <w:tmpl w:val="EF0ADFB2"/>
    <w:lvl w:ilvl="0" w:tplc="E1BA5ED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A0E6F"/>
    <w:multiLevelType w:val="hybridMultilevel"/>
    <w:tmpl w:val="B3960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6B34"/>
    <w:multiLevelType w:val="hybridMultilevel"/>
    <w:tmpl w:val="CD3AB5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2E45"/>
    <w:multiLevelType w:val="hybridMultilevel"/>
    <w:tmpl w:val="1F682708"/>
    <w:lvl w:ilvl="0" w:tplc="65143442">
      <w:start w:val="4"/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4"/>
    <w:rsid w:val="00036C12"/>
    <w:rsid w:val="000C2A66"/>
    <w:rsid w:val="00105579"/>
    <w:rsid w:val="0013490F"/>
    <w:rsid w:val="001722BF"/>
    <w:rsid w:val="001C0316"/>
    <w:rsid w:val="001D0507"/>
    <w:rsid w:val="001E65F2"/>
    <w:rsid w:val="00224096"/>
    <w:rsid w:val="00250A42"/>
    <w:rsid w:val="0027671A"/>
    <w:rsid w:val="00321BC6"/>
    <w:rsid w:val="00330B38"/>
    <w:rsid w:val="00332E50"/>
    <w:rsid w:val="003E7312"/>
    <w:rsid w:val="003F0815"/>
    <w:rsid w:val="003F2112"/>
    <w:rsid w:val="00454509"/>
    <w:rsid w:val="004643EF"/>
    <w:rsid w:val="004B098E"/>
    <w:rsid w:val="00505AA5"/>
    <w:rsid w:val="0051608F"/>
    <w:rsid w:val="005F04E9"/>
    <w:rsid w:val="00603C86"/>
    <w:rsid w:val="00775C93"/>
    <w:rsid w:val="007C0170"/>
    <w:rsid w:val="007D3A53"/>
    <w:rsid w:val="007E03CE"/>
    <w:rsid w:val="008E3E58"/>
    <w:rsid w:val="009143F1"/>
    <w:rsid w:val="00916D84"/>
    <w:rsid w:val="00A630BA"/>
    <w:rsid w:val="00A645B7"/>
    <w:rsid w:val="00B110E4"/>
    <w:rsid w:val="00B72A97"/>
    <w:rsid w:val="00B9016F"/>
    <w:rsid w:val="00B95117"/>
    <w:rsid w:val="00BC023C"/>
    <w:rsid w:val="00BC1B5F"/>
    <w:rsid w:val="00BD2178"/>
    <w:rsid w:val="00C330B3"/>
    <w:rsid w:val="00C372B1"/>
    <w:rsid w:val="00C3740C"/>
    <w:rsid w:val="00C83205"/>
    <w:rsid w:val="00CF315A"/>
    <w:rsid w:val="00CF5F2D"/>
    <w:rsid w:val="00D7400C"/>
    <w:rsid w:val="00DC55E9"/>
    <w:rsid w:val="00DE4560"/>
    <w:rsid w:val="00E40A78"/>
    <w:rsid w:val="00E633FD"/>
    <w:rsid w:val="00E75711"/>
    <w:rsid w:val="00F07D2A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0DC4B"/>
  <w15:chartTrackingRefBased/>
  <w15:docId w15:val="{F9E0E6D3-E370-4FB3-BBB5-469B0CC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3F21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3F211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3F2112"/>
    <w:rPr>
      <w:vertAlign w:val="superscript"/>
    </w:rPr>
  </w:style>
  <w:style w:type="paragraph" w:styleId="Paragraphedeliste">
    <w:name w:val="List Paragraph"/>
    <w:basedOn w:val="Normal"/>
    <w:qFormat/>
    <w:rsid w:val="003F2112"/>
    <w:pPr>
      <w:suppressAutoHyphens/>
      <w:spacing w:before="120" w:after="0" w:line="240" w:lineRule="auto"/>
      <w:ind w:left="708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3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C12"/>
  </w:style>
  <w:style w:type="paragraph" w:styleId="Pieddepage">
    <w:name w:val="footer"/>
    <w:basedOn w:val="Normal"/>
    <w:link w:val="PieddepageCar"/>
    <w:uiPriority w:val="99"/>
    <w:unhideWhenUsed/>
    <w:rsid w:val="0003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C12"/>
  </w:style>
  <w:style w:type="paragraph" w:styleId="Textedebulles">
    <w:name w:val="Balloon Text"/>
    <w:basedOn w:val="Normal"/>
    <w:link w:val="TextedebullesCar"/>
    <w:uiPriority w:val="99"/>
    <w:semiHidden/>
    <w:unhideWhenUsed/>
    <w:rsid w:val="007E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3C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E7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3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3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312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B951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0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agrimer.fr/Accompagner/Dispositifs-par-filiere/Aides-de-crise/GEL-assu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AD93-DD31-4E43-B2DA-560547E1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PIECUCH</dc:creator>
  <cp:keywords/>
  <dc:description/>
  <cp:lastModifiedBy>LAUGE Vanessa</cp:lastModifiedBy>
  <cp:revision>2</cp:revision>
  <cp:lastPrinted>2022-02-22T13:39:00Z</cp:lastPrinted>
  <dcterms:created xsi:type="dcterms:W3CDTF">2022-04-11T15:25:00Z</dcterms:created>
  <dcterms:modified xsi:type="dcterms:W3CDTF">2022-04-11T15:25:00Z</dcterms:modified>
</cp:coreProperties>
</file>