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43CF" w14:textId="77777777" w:rsidR="004927A6" w:rsidRDefault="004927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50FF" wp14:editId="41BF2C64">
                <wp:simplePos x="0" y="0"/>
                <wp:positionH relativeFrom="column">
                  <wp:posOffset>913765</wp:posOffset>
                </wp:positionH>
                <wp:positionV relativeFrom="paragraph">
                  <wp:posOffset>2409498</wp:posOffset>
                </wp:positionV>
                <wp:extent cx="5240593" cy="2585884"/>
                <wp:effectExtent l="0" t="0" r="17780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593" cy="25858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28523" w14:textId="560B7140" w:rsidR="0050735D" w:rsidRDefault="00DB1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Grille d’auto-évaluation</w:t>
                            </w:r>
                          </w:p>
                          <w:p w14:paraId="11CA78B1" w14:textId="087C6526" w:rsidR="0050735D" w:rsidRPr="0050735D" w:rsidRDefault="00DB144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Opérateur de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B50F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71.95pt;margin-top:189.7pt;width:412.65pt;height:20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" filled="f" strokeweight=".5pt">
                <v:textbox>
                  <w:txbxContent>
                    <w:p w14:paraId="6D528523" w14:textId="560B7140" w:rsidR="0050735D" w:rsidRDefault="00DB144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Grille d’auto-évaluation</w:t>
                      </w:r>
                    </w:p>
                    <w:p w14:paraId="11CA78B1" w14:textId="087C6526" w:rsidR="0050735D" w:rsidRPr="0050735D" w:rsidRDefault="00DB1446">
                      <w:pP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Opérateur de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6C56E" wp14:editId="2AA0E348">
            <wp:simplePos x="0" y="0"/>
            <wp:positionH relativeFrom="margin">
              <wp:posOffset>-236794</wp:posOffset>
            </wp:positionH>
            <wp:positionV relativeFrom="margin">
              <wp:posOffset>-214630</wp:posOffset>
            </wp:positionV>
            <wp:extent cx="7546340" cy="1066101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3342A" w14:textId="77777777" w:rsidR="00FE5511" w:rsidRDefault="00FE5511" w:rsidP="0089744A">
      <w:pPr>
        <w:jc w:val="both"/>
        <w:sectPr w:rsidR="00FE5511" w:rsidSect="004927A6">
          <w:headerReference w:type="default" r:id="rId12"/>
          <w:footerReference w:type="even" r:id="rId13"/>
          <w:footerReference w:type="default" r:id="rId14"/>
          <w:pgSz w:w="11901" w:h="16817"/>
          <w:pgMar w:top="357" w:right="357" w:bottom="799" w:left="357" w:header="680" w:footer="680" w:gutter="0"/>
          <w:pgNumType w:start="0"/>
          <w:cols w:space="708"/>
          <w:titlePg/>
          <w:docGrid w:linePitch="360"/>
        </w:sectPr>
      </w:pPr>
    </w:p>
    <w:p w14:paraId="14C49A5F" w14:textId="1DD0015C" w:rsidR="00181FCA" w:rsidRPr="00181FCA" w:rsidRDefault="00181FCA" w:rsidP="0089744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81FCA">
        <w:rPr>
          <w:rFonts w:ascii="Arial" w:hAnsi="Arial" w:cs="Arial"/>
          <w:sz w:val="22"/>
          <w:szCs w:val="22"/>
        </w:rPr>
        <w:lastRenderedPageBreak/>
        <w:t xml:space="preserve">Avant-propos : Ce présent document a été rédigé par Bureau Veritas Living Resources dans le cadre du contrat d’assistance technique menée auprès de FranceAgriMer afin d’accompagner la promotion de l’écolabel Pêche durable. </w:t>
      </w:r>
    </w:p>
    <w:p w14:paraId="5382E837" w14:textId="77777777" w:rsidR="00864806" w:rsidRDefault="00864806" w:rsidP="00FF52CD">
      <w:pPr>
        <w:pStyle w:val="NormalWeb"/>
        <w:jc w:val="both"/>
        <w:rPr>
          <w:rFonts w:ascii="Arial" w:hAnsi="Arial" w:cs="Arial"/>
          <w:sz w:val="22"/>
          <w:szCs w:val="22"/>
        </w:rPr>
        <w:sectPr w:rsidR="00864806" w:rsidSect="00D71295">
          <w:pgSz w:w="11901" w:h="16817"/>
          <w:pgMar w:top="1077" w:right="1077" w:bottom="1077" w:left="1077" w:header="567" w:footer="170" w:gutter="0"/>
          <w:cols w:space="708"/>
          <w:docGrid w:linePitch="360"/>
        </w:sectPr>
      </w:pPr>
    </w:p>
    <w:p w14:paraId="435E6BB6" w14:textId="1CBA51C0" w:rsidR="007031F3" w:rsidRPr="007031F3" w:rsidRDefault="007031F3" w:rsidP="007031F3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31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</w:t>
      </w:r>
    </w:p>
    <w:tbl>
      <w:tblPr>
        <w:tblW w:w="16281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134"/>
        <w:gridCol w:w="1276"/>
        <w:gridCol w:w="1276"/>
        <w:gridCol w:w="1559"/>
        <w:gridCol w:w="1701"/>
        <w:gridCol w:w="3260"/>
        <w:gridCol w:w="993"/>
        <w:gridCol w:w="3685"/>
      </w:tblGrid>
      <w:tr w:rsidR="007031F3" w:rsidRPr="007031F3" w14:paraId="59B40EE0" w14:textId="77777777" w:rsidTr="007031F3">
        <w:trPr>
          <w:trHeight w:val="465"/>
        </w:trPr>
        <w:tc>
          <w:tcPr>
            <w:tcW w:w="16281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333399"/>
          </w:tcPr>
          <w:p w14:paraId="1856EC4D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ar-SA"/>
              </w:rPr>
              <w:t>Ecosystème</w:t>
            </w:r>
          </w:p>
        </w:tc>
      </w:tr>
      <w:tr w:rsidR="007031F3" w:rsidRPr="007031F3" w14:paraId="31C49BE6" w14:textId="77777777" w:rsidTr="007031F3">
        <w:trPr>
          <w:trHeight w:val="270"/>
        </w:trPr>
        <w:tc>
          <w:tcPr>
            <w:tcW w:w="16281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333399"/>
          </w:tcPr>
          <w:p w14:paraId="6BAB9D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>(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>concerne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ar-SA"/>
              </w:rPr>
              <w:t xml:space="preserve"> la ressource ciblée mais également les espèces non ciblées et l’habitat)</w:t>
            </w:r>
          </w:p>
        </w:tc>
      </w:tr>
      <w:tr w:rsidR="007031F3" w:rsidRPr="007031F3" w14:paraId="2D706354" w14:textId="77777777" w:rsidTr="007031F3">
        <w:trPr>
          <w:trHeight w:val="570"/>
        </w:trPr>
        <w:tc>
          <w:tcPr>
            <w:tcW w:w="1397" w:type="dxa"/>
            <w:tcBorders>
              <w:left w:val="single" w:sz="8" w:space="0" w:color="000000"/>
            </w:tcBorders>
            <w:shd w:val="clear" w:color="auto" w:fill="FFFF99"/>
            <w:vAlign w:val="center"/>
          </w:tcPr>
          <w:p w14:paraId="5E9D8CE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FFFF99"/>
            <w:vAlign w:val="center"/>
          </w:tcPr>
          <w:p w14:paraId="5D33B5FD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99"/>
            <w:vAlign w:val="center"/>
          </w:tcPr>
          <w:p w14:paraId="23D9819B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Déclinaisons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99"/>
            <w:vAlign w:val="center"/>
          </w:tcPr>
          <w:p w14:paraId="6A4DD0D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4652283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8DDAAD5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4AEF99F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4F1E0AF" w14:textId="77777777" w:rsidR="007031F3" w:rsidRPr="007031F3" w:rsidRDefault="007031F3" w:rsidP="007031F3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Modalités de contrôle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45788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A2CF263" w14:textId="77777777" w:rsidR="007031F3" w:rsidRPr="007031F3" w:rsidRDefault="007031F3" w:rsidP="007031F3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5B8D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8569A75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7031F3" w:rsidRPr="007031F3" w14:paraId="1F75F4C7" w14:textId="77777777" w:rsidTr="007031F3">
        <w:trPr>
          <w:trHeight w:val="1500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9F6BD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2"/>
                <w:u w:val="single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P1. Une gouvernance adaptée au niveau de l’unité de certification assure l’encadrement d’une exploitation durable</w:t>
            </w:r>
            <w:r w:rsidRPr="007031F3">
              <w:rPr>
                <w:rFonts w:ascii="Times New Roman" w:eastAsia="Times New Roman" w:hAnsi="Times New Roman" w:cs="Times New Roman"/>
                <w:b/>
                <w:color w:val="CCFFFF"/>
                <w:sz w:val="28"/>
                <w:szCs w:val="22"/>
                <w:u w:val="single"/>
                <w:lang w:eastAsia="ar-SA"/>
              </w:rPr>
              <w:t xml:space="preserve"> </w:t>
            </w:r>
            <w:r w:rsidRPr="007031F3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2"/>
                <w:u w:val="single"/>
                <w:lang w:eastAsia="ar-SA"/>
              </w:rPr>
              <w:t>assurant l’encadrement d’une exploitation durable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DF957F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1.1 La gouvernance permet une gestion adaptative</w:t>
            </w:r>
          </w:p>
          <w:p w14:paraId="21B0B3C4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2ED248C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9FC722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26A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1.1.1 Les mesures de gestion auxquelles est soumise l’unité de certification doivent permettre au minimum : 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1- une réponse rapide à une dégradation imprévue de la ressource afin de contribuer à la restauration de celle-ci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2- d’empêcher toute augmentation de l'effort de pêche* effectif non appropriée à la situation du stock*, et ce en conformité avec les prérequis 1 et 3</w:t>
            </w:r>
          </w:p>
          <w:p w14:paraId="21821967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4442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Statuts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Mesures d'encadrement (spécifiques à l’unité de certification)</w:t>
            </w:r>
          </w:p>
          <w:p w14:paraId="25E86887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EC0A2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statuts et mesures d'encadrement de l’unité de certification garantissent une réponse rapide à une dégradation imprévue de la ressource et de prévenir toute augmentation de l'effort de pêche* effectif non approprié à la situation du stock*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EC8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EEEE38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vérification des statuts et mesures d’encadrement qui prévoient des alertes diffusées en cas de dégradation imprévue de la ressource.</w:t>
            </w:r>
          </w:p>
          <w:p w14:paraId="1D9BFF9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4A8671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des espèces sous quotas : vérification des mesures d’encadrement prévues pour éviter de dépasser les totaux admissibles de captures.</w:t>
            </w:r>
          </w:p>
          <w:p w14:paraId="4B87E281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9401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C61EF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CD431BC" w14:textId="77777777" w:rsidTr="007031F3">
        <w:trPr>
          <w:trHeight w:val="1786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B3C3FF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5F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D3930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1.1.2 Il existe des dispositions pour que les mesures de gestion soient prises en conformité avec les avis scientifiques alimentés par un flux de données appropriées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B078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PV ou comptes rendus de réunions ou de comités scientifiques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Correspondance entre avis scientifiques, décisions prises et réalité observée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B0C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dispositions mises en œuvre correspondent aux avis scientifiques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EA8B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vérification du protocole de prise en compte des avis scientifiques qui prévoit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minima :</w:t>
            </w:r>
          </w:p>
          <w:p w14:paraId="25FA5A34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la consultation d’une structure scientifique compétente sur l’espèce pêchée et l’enregistrement des avis scientifiques relatifs aux espèces pêchées.</w:t>
            </w:r>
          </w:p>
          <w:p w14:paraId="106356CF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la mise en œuvre de mesures de gestion en correspondance avec les avis scientifiques.</w:t>
            </w:r>
          </w:p>
          <w:p w14:paraId="4E05F57A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71E9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4D55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324746C" w14:textId="77777777" w:rsidTr="007031F3">
        <w:trPr>
          <w:trHeight w:val="704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84D70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A30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1.2 Les mesures de gestion doivent être prises en concertation avec les différentes parties prenantes.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ACAA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1.2.1 Il doit y avoir un dialogue et une collaboration entre l’unité de certification et la communauté scientifique.</w:t>
            </w:r>
          </w:p>
          <w:p w14:paraId="7211FDD3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38276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PV ou comptes rendus de réunions </w:t>
            </w: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Participation des professionnels à la collecte des données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B79E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Au minimum, un échange entre l’unité de certification et la communauté scientifique tous les trois ans.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FE9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6AF2D62B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Procès-verbal ou compte-rendu de réunions ou échange de courriers et/ou participation des professionnels à la collecte des données datés de moins de trois ans à la date de l’audit.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F1321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5D94DB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31F3" w:rsidRPr="007031F3" w14:paraId="3D13B679" w14:textId="77777777" w:rsidTr="007031F3">
        <w:trPr>
          <w:trHeight w:val="699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93108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DD4D9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B5F7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1.2.2 Un dialogue doit être engagé avec d’autres parties prenantes (associations de défense de l’environnement, organisations de consommateurs, associations de pêche récréative) afin d’accroître la transparence du système de gestion.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997B7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courrier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 mail, fax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E389E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Des éléments de preuves sont disponibles confirmant le dialogue entre l’unité de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certification  et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les parties prenantes (autres que scientifiques).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86F106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</w:t>
            </w:r>
          </w:p>
          <w:p w14:paraId="07D4A413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Procès-verbal </w:t>
            </w:r>
            <w:proofErr w:type="gramStart"/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ou  comptes</w:t>
            </w:r>
            <w:proofErr w:type="gramEnd"/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-rendus de réunions ou échange de courriers, mails et/ou fax avec d’autres parties prenantes.</w:t>
            </w:r>
          </w:p>
          <w:p w14:paraId="03A714EB" w14:textId="77777777" w:rsidR="007031F3" w:rsidRPr="007031F3" w:rsidRDefault="007031F3" w:rsidP="007031F3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Si des tentatives de contact ont été engagées par l’unité de certification mais sont restées sans réponse, le critère est validé.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A2EB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03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4CC3" w14:textId="77777777" w:rsidR="007031F3" w:rsidRPr="007031F3" w:rsidRDefault="007031F3" w:rsidP="007031F3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14:paraId="5B3408C1" w14:textId="77777777" w:rsid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tbl>
      <w:tblPr>
        <w:tblW w:w="16139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134"/>
        <w:gridCol w:w="1134"/>
        <w:gridCol w:w="993"/>
        <w:gridCol w:w="708"/>
        <w:gridCol w:w="1276"/>
        <w:gridCol w:w="1701"/>
        <w:gridCol w:w="2552"/>
        <w:gridCol w:w="992"/>
        <w:gridCol w:w="4252"/>
      </w:tblGrid>
      <w:tr w:rsidR="004C237C" w:rsidRPr="004C237C" w14:paraId="3DD311AC" w14:textId="77777777" w:rsidTr="004C237C">
        <w:trPr>
          <w:trHeight w:val="35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360E8A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7CADA8A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2EA19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Déclinaisons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B212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déclinaison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33F7F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8BD737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70250F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99"/>
          </w:tcPr>
          <w:p w14:paraId="5EE85C2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32366BC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02900B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00DD5E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C237C" w:rsidRPr="004C237C" w14:paraId="15E63169" w14:textId="77777777" w:rsidTr="004C237C">
        <w:trPr>
          <w:trHeight w:val="878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59D3C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P2. L'unité de certification préserve la capacité reproductrice des stocks impactés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DEFB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2.1 Des moyens sont mis en œuvre pour limiter la capture de juvéniles</w:t>
            </w:r>
            <w:r w:rsidRPr="004C237C" w:rsidDel="003F74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9CA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Utilisation d’un engin sélectif ou mise en œuvre de pratiques sélectives</w:t>
            </w:r>
            <w:r w:rsidRPr="004C237C" w:rsidDel="003F74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07A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Un engin sélectif est utilisé en vue de limiter la capture de juvéniles ou des pratiques sélectives (évitement de zones) sont mises en œuvre.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29AE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80C78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à quai : vérification de la présence d’équipements ou dispositifs sélectifs </w:t>
            </w:r>
          </w:p>
          <w:p w14:paraId="318312A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ou</w:t>
            </w:r>
            <w:proofErr w:type="gramEnd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vérification documentaire de pratiques sélectives : déclaration d’évitement de zones ou protocole de capture spécifique.</w:t>
            </w:r>
          </w:p>
          <w:p w14:paraId="0C6EB99B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3203D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88F16" w14:textId="77777777" w:rsidR="004C237C" w:rsidRPr="004C237C" w:rsidRDefault="004C237C" w:rsidP="004C237C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0DBBE89E" w14:textId="77777777" w:rsidTr="004C237C">
        <w:trPr>
          <w:trHeight w:val="877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024AA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5F93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2.2 L'activité de pêche n’affecte pas les zones fonctionnelles (nourriceries / frayères) connues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7E24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Distribution spatio-temporelle de l’effort de pêche*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6038A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Il n’existe pas d’interaction directe dénaturant les zones fonctionnelles connues (nourriceries et/ou frayères) qui se trouvent dans l’aire d’exploitation des navires certifiés.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691782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fondé sur la comparaison entre la localisation connue de nourriceries et frayères d’espèces commercialisées et non commercialisées (information disponible auprès des institutions scientifiques) et la distribution spatio-temporelle de l’activité de pêche (carte).</w:t>
            </w:r>
          </w:p>
          <w:p w14:paraId="18B7B7B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F80A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881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42C75B2E" w14:textId="77777777" w:rsidTr="004C237C">
        <w:trPr>
          <w:trHeight w:val="1820"/>
        </w:trPr>
        <w:tc>
          <w:tcPr>
            <w:tcW w:w="139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D7B35C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Arial" w:eastAsia="Times New Roman" w:hAnsi="Arial" w:cs="Arial"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P3. L'unité de certification, par le biais des captures accidentelles, n'a pas d'impact sur les espèces protégées ou menacées.</w:t>
            </w:r>
          </w:p>
          <w:p w14:paraId="7A08D8F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  <w:p w14:paraId="40776D9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4242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3.1 L'activité de pêche est adaptée pour limiter les captures non souhaitées des espèces protégées ou menacées. 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CC8E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Evaluation des mesures d'adaptation de l’activité en cas d'interaction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36D9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mesures d'adaptation de l'activité sont formalisées et appliquées.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F9AB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Interview et contrôle visuel à quai de l’existence de dispositif(s) pour éviter les captures accidentelles tel(s) que :</w:t>
            </w:r>
          </w:p>
          <w:p w14:paraId="18BE163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des mesures d’adaptation de l’activité (ex : éviter la pratique de la pêche certaines saisons ou en certains lieux) et/ou </w:t>
            </w:r>
          </w:p>
          <w:p w14:paraId="4F666836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des mesures d’adaptation de l’engin de pêche (ex : dispositifs spécifiques associés au déploiement des engins).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8B69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  <w:p w14:paraId="1742541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D2E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5A4FF0C" w14:textId="77777777" w:rsidTr="004C237C">
        <w:trPr>
          <w:trHeight w:val="1225"/>
        </w:trPr>
        <w:tc>
          <w:tcPr>
            <w:tcW w:w="139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501D2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9A3E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3.2 Enregistrement et communication des captures non souhaitées des espèces protégées ou menacées.</w:t>
            </w:r>
          </w:p>
          <w:p w14:paraId="5B40AE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ED3E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d'un registre des captures accidentelles. Ce registre comporte les informations demandées par les protocoles scientifiques existants.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Présence d'un système de transmission des données de ce registre aux scientifiques en fonction du protocole établi.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502B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captures accidentelles sont enregistrées dans un registre régulièrement transmis aux scientifiques en fonction d’un protocole préalablement défini.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500B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054A349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- existence d’un enregistrement (registre, </w:t>
            </w:r>
            <w:proofErr w:type="spellStart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logbook</w:t>
            </w:r>
            <w:proofErr w:type="spellEnd"/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cahier de pêche) des captures accidentelles ; </w:t>
            </w:r>
          </w:p>
          <w:p w14:paraId="0AD06E3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s’il existe des captures accidentelles, preuve de la transmission de l’information aux institutions scientifiques adaptées (cf. liste guide lecture).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A99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0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EFF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CF6D80E" w14:textId="77777777" w:rsidTr="004C237C">
        <w:trPr>
          <w:trHeight w:val="880"/>
        </w:trPr>
        <w:tc>
          <w:tcPr>
            <w:tcW w:w="13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9617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D514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3.3 Maximisation des chances de survie des individus capturés accidentellement.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4B17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Mise en œuvre de mesures de remise à l’eau des captures non souhaitées lorsqu'elles ont lieu.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A035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Les instructions pour l'équipage sont formalisées et appliquées.</w:t>
            </w:r>
          </w:p>
          <w:p w14:paraId="3EA009C3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1CA344C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3E932079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2D519E0C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2F28EEE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061E4C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Existence d’instructions formalisées pour l’équipage et interview à quai de membres de l’équipage.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20CA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D15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0F979A2A" w14:textId="77777777" w:rsidTr="004C237C">
        <w:trPr>
          <w:trHeight w:val="2255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3C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  <w:t>P4. L’unité de certification a un impact faible ou nul sur l’habitat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2CE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toutes les zones</w:t>
            </w:r>
          </w:p>
          <w:p w14:paraId="02A3AD88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E77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A6F93E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4.1 Les impacts de la pêche sur les fonds et sur les flores et faunes sessiles associées n’affectent pas l’habitat de manière irréversible.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B1B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i) caractéristiques des fonds impactés (nature de l’habitat, présence de flore et faune sessile) décrites par les sources bibliographiques, 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 xml:space="preserve">ii) nature des impacts, et 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iii) aire impactée par les engins par rapport à la surface totale de l’habitat identifié (notion d’impact relatif)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F7E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L'impact n’affecte pas l’habitat de manière irréversible.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14E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BA3DB8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8299C5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d’une étude scientifique qui caractérise les fonds impactés, la nature des impacts et l’aire impactée. L’étude conclut que l’impact sur les fonds n’affecte pas l’habitat de manière irréversible.</w:t>
            </w:r>
          </w:p>
          <w:p w14:paraId="6F5E93D5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4C7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5333A7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95759B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718F9C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4330149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  <w:p w14:paraId="63C53DFC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0E7DF1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A672AF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2E7E78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685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66838A2F" w14:textId="77777777" w:rsidTr="004C237C">
        <w:trPr>
          <w:trHeight w:val="73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FBD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69AD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Dans les zones à statut spécial au titre de l’habitat dotées d’un organe de gestion opérationnel</w:t>
            </w:r>
          </w:p>
          <w:p w14:paraId="450E944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C2D4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A41FECA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4.2 Les règles de l’organe de gestion de la zone à habitat spécial sont suivies.</w:t>
            </w:r>
          </w:p>
          <w:p w14:paraId="50D8913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619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Eléments factuels permettant de vérifier le respect des règles (distribution spatio-temporelle de l'effort de pêche*, composition des captures...)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A93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Des éléments de preuve sont disponibles confirmant le respect des mesures mises en place par l'organe de gestion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7884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6BF573E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5829F97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 de recommandations de l’organe de gestion et vérification de la mise en place de ces recommandations (carte zone de pêche / carnet de pêche).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5B4B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146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37C" w:rsidRPr="004C237C" w14:paraId="1B05CD09" w14:textId="77777777" w:rsidTr="004C237C">
        <w:trPr>
          <w:trHeight w:val="1071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13F3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3A2D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B594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4.3 Un dialogue et collaboration existent entre l’unité de certification, les scientifiques et les gestionnaires de la zone à habitat spécial</w:t>
            </w:r>
          </w:p>
          <w:p w14:paraId="290DB187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D605BD1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1740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PV ou comptes rendus de réunions</w:t>
            </w: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Participation des professionnels à la collecte des données</w:t>
            </w:r>
          </w:p>
          <w:p w14:paraId="0C1BC02E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5498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dialogue et collabore avec les scientifiques et les organes de gestion de la zone à statut spécial au titre de l'habitat.</w:t>
            </w:r>
          </w:p>
          <w:p w14:paraId="17C20152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5FD0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4A9D6ACE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Procès-verbal et comptes-rendus de réunions ou échange de courriers et/ou participation des professionnels à la collecte des données datés de moins d’un an à la date de l’audit</w:t>
            </w:r>
          </w:p>
          <w:p w14:paraId="14173C2D" w14:textId="77777777" w:rsidR="004C237C" w:rsidRPr="004C237C" w:rsidRDefault="004C237C" w:rsidP="004C237C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4DEF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D86" w14:textId="77777777" w:rsidR="004C237C" w:rsidRPr="004C237C" w:rsidRDefault="004C237C" w:rsidP="004C237C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640C9AC" w14:textId="77777777" w:rsidR="00FF52CD" w:rsidRPr="00FF52CD" w:rsidRDefault="00FF52CD" w:rsidP="00FF52C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D5B41EA" w14:textId="77777777" w:rsidR="00AA5255" w:rsidRPr="00FF52CD" w:rsidRDefault="00FF52CD" w:rsidP="00FF52CD">
      <w:pPr>
        <w:jc w:val="both"/>
        <w:rPr>
          <w:rFonts w:ascii="Arial" w:hAnsi="Arial" w:cs="Arial"/>
          <w:sz w:val="22"/>
          <w:szCs w:val="22"/>
        </w:rPr>
      </w:pPr>
      <w:r w:rsidRPr="00FF52CD">
        <w:rPr>
          <w:rFonts w:ascii="Arial" w:hAnsi="Arial" w:cs="Arial"/>
          <w:sz w:val="22"/>
          <w:szCs w:val="22"/>
        </w:rPr>
        <w:lastRenderedPageBreak/>
        <w:t xml:space="preserve"> </w:t>
      </w:r>
    </w:p>
    <w:tbl>
      <w:tblPr>
        <w:tblW w:w="16341" w:type="dxa"/>
        <w:tblInd w:w="-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1560"/>
        <w:gridCol w:w="2268"/>
        <w:gridCol w:w="1275"/>
        <w:gridCol w:w="2127"/>
        <w:gridCol w:w="2268"/>
        <w:gridCol w:w="992"/>
        <w:gridCol w:w="4394"/>
      </w:tblGrid>
      <w:tr w:rsidR="00AA5255" w:rsidRPr="00AA5255" w14:paraId="7F6AEA3D" w14:textId="77777777" w:rsidTr="00AA5255">
        <w:trPr>
          <w:trHeight w:val="770"/>
        </w:trPr>
        <w:tc>
          <w:tcPr>
            <w:tcW w:w="16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9966"/>
            <w:vAlign w:val="center"/>
          </w:tcPr>
          <w:p w14:paraId="50FC703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ind w:left="-17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ar-SA"/>
              </w:rPr>
              <w:t>ENVIRONNEMENT</w:t>
            </w:r>
          </w:p>
        </w:tc>
      </w:tr>
      <w:tr w:rsidR="00AA5255" w:rsidRPr="00AA5255" w14:paraId="20C41DEF" w14:textId="77777777" w:rsidTr="00AA5255">
        <w:trPr>
          <w:trHeight w:val="596"/>
        </w:trPr>
        <w:tc>
          <w:tcPr>
            <w:tcW w:w="14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3A91FB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A31BB1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70E4445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01F952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56A9CC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4B0E110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5B087AB" w14:textId="77777777" w:rsidR="00AA5255" w:rsidRPr="00AA5255" w:rsidRDefault="00AA5255" w:rsidP="00AA5255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0519F9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6631548" w14:textId="77777777" w:rsidR="00AA5255" w:rsidRPr="00AA5255" w:rsidRDefault="00AA5255" w:rsidP="00AA5255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23426F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5C7102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AA5255" w:rsidRPr="00AA5255" w14:paraId="5D03C553" w14:textId="77777777" w:rsidTr="00AA5255">
        <w:trPr>
          <w:trHeight w:val="1475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D2B4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  <w:t xml:space="preserve">P5 L'unité de certification utilise l'énergie fossile de manière limitée </w:t>
            </w:r>
          </w:p>
          <w:p w14:paraId="5A31E0E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  <w:p w14:paraId="468E4B9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On tiendra compte également de tous les navires de transport (c'est-à-dire avec pour unique fonction le transport des produits vers leur premier lieu de débarquement).</w:t>
            </w:r>
          </w:p>
          <w:p w14:paraId="5BF6F73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6A92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5.1 L’énergie fossile utilisée est limitée. </w:t>
            </w:r>
          </w:p>
          <w:p w14:paraId="5F445BD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522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5.1.1 Connaissance du rendement énergétique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B38F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Réalisation d’un état des lieux permettant l'identification des postes consommateurs d'énergie.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528F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navires constituent un état des lieux des indicateurs de consommation d’énergie.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2098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CC3C8C0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1DF91F48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Etat des lieux des consommations énergétiques des navires </w:t>
            </w:r>
          </w:p>
          <w:p w14:paraId="7931C31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6B44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E0C8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AA2AEF6" w14:textId="77777777" w:rsidTr="00AA5255">
        <w:trPr>
          <w:trHeight w:val="2011"/>
        </w:trPr>
        <w:tc>
          <w:tcPr>
            <w:tcW w:w="145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EE0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9331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A148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5.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1.Mise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en place d’un suivi annuel .de la consommation d’énergie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28611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Formalisation d’un suivi des consommations énergétiques des navires.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E10D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Un protocole de suivi de la consommation énergétique des navires est mis en place, permettant d’identifier l’évolution des postes les plus consommateurs.</w:t>
            </w:r>
          </w:p>
          <w:p w14:paraId="2619F48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7D89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29CD972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protocole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d’enregistrement des consommations d’énergies dont la consommation d’hydrocarbures et enregistrements associés.</w:t>
            </w:r>
          </w:p>
          <w:p w14:paraId="4F2CEC7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872A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B62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1708E3CC" w14:textId="77777777" w:rsidTr="00AA5255">
        <w:trPr>
          <w:trHeight w:val="963"/>
        </w:trPr>
        <w:tc>
          <w:tcPr>
            <w:tcW w:w="145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F079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2AE6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9862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5.1.3 Des propositions d’actions pour la diminution de la consommation d’énergie seront élaborées.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4CB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Formalisation et pertinence des objectifs de réduction pour les postes identifiés comme les plus consommateurs.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3FA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propose des objectifs de réduction pertinents pour les postes consommateurs d’énergie. Ces objectifs sont chiffrés, pertinents et mesurables et les délais pour atteindre ces objectifs sont définis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1A9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FE9076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 </w:t>
            </w:r>
          </w:p>
          <w:p w14:paraId="09CDB265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s’est fixé des objectifs de réduction des postes consommateurs d’énergie. Ces objectifs sont chiffrés, pertinents et mesurables et les délais pour atteindre ces objectifs sont définis.</w:t>
            </w:r>
          </w:p>
          <w:p w14:paraId="3341741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FF81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53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FCA023A" w14:textId="77777777" w:rsidTr="00AA5255">
        <w:trPr>
          <w:trHeight w:val="1514"/>
        </w:trPr>
        <w:tc>
          <w:tcPr>
            <w:tcW w:w="14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7CC6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91CE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5A39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5.1.4 Réalisation d'une étude de faisabilité : évolution des techniques de pêche vers des techniques plus économes en énergie et/ou sensibilisation aux innovations dans ces techniques.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13551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Existence d’une étude de faisabilité détaillée et pertinente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7220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L’étude de faisabilité décrit les coûts et les bénéfices attendus dans le cas de la mise en place de techniques de pêche plus économes en énergie.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0D922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</w:t>
            </w:r>
          </w:p>
          <w:p w14:paraId="3E66B37C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Existence de l’étude de faisabilité.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0767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561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314686AA" w14:textId="77777777" w:rsidTr="00AA5255">
        <w:trPr>
          <w:trHeight w:val="1245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462B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ar-SA"/>
              </w:rPr>
              <w:t>P6 La pollution par les déchets solides, liquides, huileux, et gazeux est évitée</w:t>
            </w:r>
          </w:p>
          <w:p w14:paraId="100C7CEC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  <w:p w14:paraId="4A212D2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EB6B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6.1 Prévention des pollutions par les eaux usées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574F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6.1.1 Les navires certifiés mettent en application un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garantissant l'absence de pollution par les eaux usées.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5B90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6D31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Un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est disponible et confirme l'absence de pollution par les eaux usées.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E26D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4B54F4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Contrôle documentaire :</w:t>
            </w:r>
          </w:p>
          <w:p w14:paraId="6AAF987B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un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plan de gestion des eaux </w:t>
            </w:r>
            <w:proofErr w:type="spellStart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mazouteuses</w:t>
            </w:r>
            <w:proofErr w:type="spellEnd"/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 xml:space="preserve"> est disponible et confirme l'absence de pollution par les eaux usées.</w:t>
            </w:r>
          </w:p>
          <w:p w14:paraId="6D79955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826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61B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6C4CB392" w14:textId="77777777" w:rsidTr="00AA5255">
        <w:trPr>
          <w:trHeight w:val="124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8E68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16AF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070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6.1.2 Le postulant limite sa pollution par les eaux usées par l'application de bonnes pratiques : utilisation de détergents à usage quotidien ayant des propriétés biodégradables ou respectueuses de l'environnement marin.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A92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Evaluation des bonnes pratiques de prévention des pollutions par les eaux usées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9E14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détergents utilisés à bord sont biodégradables et conformes au règlement communautaire N°66/2010 du 25 novembre 2009.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4C2A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  <w:p w14:paraId="157B5FC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Inspection visuelle à bord du navire à quai.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6EFB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70A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5A7B3DBA" w14:textId="77777777" w:rsidTr="00AA5255">
        <w:trPr>
          <w:trHeight w:val="1079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1E05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91E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6.2 Prévention des pollutions par les ordures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FFCC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6.2.1 Le postulant ne rejette pas d'ordures ménagères en mer : l'ensemble des déchets doit être ramené à terre et jetés dans les containers prévus à cet effet à terre.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1234D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 xml:space="preserve">Formalisation des consignes à bord.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4260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Les ordures sont ramenées à terre à chaque marée </w:t>
            </w: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Les consignes interdisant le rejet à la mer de tout objet en plastique sont formalisées, connues et respectées.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49BD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78B35CA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à quai :</w:t>
            </w:r>
          </w:p>
          <w:p w14:paraId="229B4014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formalisation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des consignes à bord affichées ou accessibles aux membres de l’équipage.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613D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BB8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1936142F" w14:textId="77777777" w:rsidTr="00AA5255">
        <w:trPr>
          <w:trHeight w:val="572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BE2E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DC6E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4BB8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BE11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Présence d'un suivi des quantités ramenées à terre</w:t>
            </w: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  <w:t>Utilisation de sacs biodégradables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6491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Un suivi des quantités ramenées à terre doit être disponible.</w:t>
            </w: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  <w:t>Et des sacs biodégradables sont utilisés.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606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Contrôle documentaire du suivi des quantités ramenées à terre.</w:t>
            </w:r>
          </w:p>
          <w:p w14:paraId="28C61F7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Et contrôle visuel de la présence de sacs biodégradables.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231A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E06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1B7019A0" w14:textId="77777777" w:rsidTr="00AA5255">
        <w:trPr>
          <w:trHeight w:val="55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024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02D6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AFF0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6.2.2 Un 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tri sélectif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des déchets est effectué à bord en fonction des conteneurs de tri disponibles à terre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62F8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Dispositif de tri des déchets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AC15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d'un dispositif de tri des déchets à bord en fonction des conteneurs de tri disponibles à terre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D1E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0C1CD76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</w:t>
            </w: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nspection à quai : formalisation des consignes à bord et présence de bacs de tri.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0324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BFE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7D6D58C1" w14:textId="77777777" w:rsidTr="00AA5255">
        <w:trPr>
          <w:trHeight w:val="1013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3C9A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B937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4EB8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6.2.3 Les déchets sont récupérés, stockés et ramenés à terre.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CBA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Evaluation de l'application des consignes concernant la récupération des déchets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394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consignes concernant la récupération des déchets sont formalisées, connues et respectées.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E868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E8B8B95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</w:t>
            </w:r>
            <w:r w:rsidRPr="00AA525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ar-SA"/>
              </w:rPr>
              <w:t>nspection à quai : formalisation des consignes à bord et interview d’un membre de l’équipage pour évaluer la connaissance et le respect des consignes.</w:t>
            </w:r>
          </w:p>
          <w:p w14:paraId="7A76C936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2270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6472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2DD976C9" w14:textId="77777777" w:rsidTr="00AA5255">
        <w:trPr>
          <w:trHeight w:val="700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2E12B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50E9C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E1DE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F3A8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Evaluation du suivi des quantités ramenées à terre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64689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Le suivi des quantités débarquées est enregistré et confirme l'engagement du postulant dans la réduction de l'impact des déchets issus de la pêche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CAD7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426A051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Contrôle documentaire :</w:t>
            </w:r>
          </w:p>
          <w:p w14:paraId="68E11C5D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existence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d’un suivi des quantités</w:t>
            </w:r>
          </w:p>
          <w:p w14:paraId="1F0A0CEE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EC493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2B7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A5255" w:rsidRPr="00AA5255" w14:paraId="1BA3D25D" w14:textId="77777777" w:rsidTr="00AA5255">
        <w:trPr>
          <w:trHeight w:val="1075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EDA1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12208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6.3 Prévention des pollutions de l'atmosphère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374E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6.3.1 Les navires équipés de cales réfrigérées n'utilisent pas de gaz dommageable à l'environnement : interdiction d'utiliser un fluide frigorigène type CFC*.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C69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Disponibilité de la fiche technique </w:t>
            </w: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du  gaz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utilisé dans le système de refroidissement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86940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Interdiction de CFC* pour les navires antérieurs à 2005 et interdiction du HCFC* sur tous les navires.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A8B8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0877443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77840D59" w14:textId="77777777" w:rsidR="00AA5255" w:rsidRPr="00AA5255" w:rsidRDefault="00AA5255" w:rsidP="00AA5255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caractéristiques</w:t>
            </w:r>
            <w:proofErr w:type="gramEnd"/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techniques des équipements et/ou recharges (notices ou factures d’achat)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0F576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57985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5255" w:rsidRPr="00AA5255" w14:paraId="70147BBF" w14:textId="77777777" w:rsidTr="00AA5255">
        <w:trPr>
          <w:trHeight w:val="689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9F49A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9A85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BD6C4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6.3.2 Absence d'incinérateurs à bord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AE9C7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7698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Le navire ne doit pas disposer d'un incinérateur à bord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96CD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Interview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232EE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AA5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8835F" w14:textId="77777777" w:rsidR="00AA5255" w:rsidRPr="00AA5255" w:rsidRDefault="00AA5255" w:rsidP="00AA5255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14:paraId="2E85CB77" w14:textId="3AD520E2" w:rsidR="008B7F2D" w:rsidRDefault="008B7F2D" w:rsidP="00FF52CD">
      <w:pPr>
        <w:jc w:val="both"/>
        <w:rPr>
          <w:rFonts w:ascii="Arial" w:hAnsi="Arial" w:cs="Arial"/>
          <w:sz w:val="22"/>
          <w:szCs w:val="22"/>
        </w:rPr>
      </w:pPr>
    </w:p>
    <w:p w14:paraId="290CD9B5" w14:textId="6D08BD22" w:rsidR="00AA5255" w:rsidRDefault="00AA52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6281" w:type="dxa"/>
        <w:tblInd w:w="-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552"/>
        <w:gridCol w:w="2409"/>
        <w:gridCol w:w="2552"/>
        <w:gridCol w:w="2551"/>
        <w:gridCol w:w="993"/>
        <w:gridCol w:w="3685"/>
      </w:tblGrid>
      <w:tr w:rsidR="004C2D3E" w:rsidRPr="004C2D3E" w14:paraId="390855C4" w14:textId="77777777" w:rsidTr="004C2D3E">
        <w:trPr>
          <w:trHeight w:val="402"/>
        </w:trPr>
        <w:tc>
          <w:tcPr>
            <w:tcW w:w="162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99FF"/>
            <w:vAlign w:val="center"/>
          </w:tcPr>
          <w:p w14:paraId="13A8426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ar-SA"/>
              </w:rPr>
              <w:lastRenderedPageBreak/>
              <w:t>SOCIALE</w:t>
            </w:r>
          </w:p>
        </w:tc>
      </w:tr>
      <w:tr w:rsidR="004C2D3E" w:rsidRPr="004C2D3E" w14:paraId="269078FF" w14:textId="77777777" w:rsidTr="004C2D3E">
        <w:trPr>
          <w:trHeight w:val="35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CF0CB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2740B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E97DF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9291B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ED3F0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969FD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7EE7D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C2D3E" w:rsidRPr="004C2D3E" w14:paraId="0E37C6A8" w14:textId="77777777" w:rsidTr="004C2D3E">
        <w:trPr>
          <w:trHeight w:val="353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14:paraId="0F7EA55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 xml:space="preserve">P7. L’équipage dispose de bonnes conditions d'emploi et de vie en mer </w:t>
            </w:r>
          </w:p>
          <w:p w14:paraId="0899676D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  <w:p w14:paraId="00218742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Ce principe s’applique à l’ensemble du personnel embarqué à la fois en mer mais aussi lorsque les navires sont à quai.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EAD7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7.1 Rémunération minimale des marins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19AC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Rémunération convenue sur le contrat de travail des marins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C9A4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La rémunération minimale est 3 fois supérieure au niveau demandé par la convention de l'OIT*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FCD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des contrats et des fiches de paie de tout le personnel inscrit au rôle d’équipage pour tous les navires de l’échantillon contrôlé.</w:t>
            </w:r>
          </w:p>
          <w:p w14:paraId="608EB1A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cf.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modalités de constitution de l’échantillon au §B.2.5 plan de contrôle cadre.)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21C9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F032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355DA370" w14:textId="77777777" w:rsidTr="004C2D3E">
        <w:trPr>
          <w:trHeight w:val="353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CCE151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CA27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7.2 Accès facilité à des protections complémentaires en matière de prévoyance notamment en cas d’incapacité temporaire ou d'invalidité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07D8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Facilité de souscription d'un contrat de prévoyance complémentaire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B770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L'armement facilite ou prend en charge (tout ou en partie) l'accession à un contrat de prévoyance complémentaire.</w:t>
            </w:r>
          </w:p>
          <w:p w14:paraId="3B925E7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Sont considérés comme "complémentaire" les contrats de prévoyance couvrant au choix les risques : décès, incapacité temporaire, invalidité, retraite complémentaire ou mutuelle.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34DF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 de l’existence d’un contrat de prévoyance pris en charge (tout ou en partie) par l’employeur ou d’un courrier d’information à ce sujet destiné à l’équipage.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F39B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C7C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086662B" w14:textId="77777777" w:rsidTr="004C2D3E">
        <w:trPr>
          <w:trHeight w:val="406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453D57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1A8B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7.3 Information sur l’activité économique de l’entreprise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1ACC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Réalisation d’un diagnostic économique annuel de l’activité pour chaque entreprise de l’unité de certification, pouvant au besoin prévoir des mesures de gestion et faisant l’objet d’une information de l’équipage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E085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d’un rapport sur l’activité économique et financière mis à jour annuellement.</w:t>
            </w:r>
          </w:p>
          <w:p w14:paraId="7BC3A8D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Information de l’équipage.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1C7EE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3CCFBE5E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présence d’un rapport sur l’activité économique et financière mis à jour annuellement ;</w:t>
            </w:r>
          </w:p>
          <w:p w14:paraId="08C6EBE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information de l’équipage : compte rendu de réunion d’information ou envoi du rapport ou synthèse aux membres de l’équipage.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3AE0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A24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43406302" w14:textId="77777777" w:rsidTr="004C2D3E">
        <w:trPr>
          <w:trHeight w:val="377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F0A5A8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F13B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7.4 Conditions de vie à bord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4B2FE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Existence de zones de repos permettant l'accès aux </w:t>
            </w:r>
            <w:proofErr w:type="spell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medias</w:t>
            </w:r>
            <w:proofErr w:type="spell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(télévision,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radio,…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38DBE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Accès facilité aux </w:t>
            </w:r>
            <w:proofErr w:type="spell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medias</w:t>
            </w:r>
            <w:proofErr w:type="spell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dans les zones de repos (pour les navires pratiquant des pêches de plus de 24h)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993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à quai de l’existence de zones de repos et de la présence d’accès aux médias en état de fonctionnement.</w:t>
            </w: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shd w:val="clear" w:color="auto" w:fill="C0C0C0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F17E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26E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496415F4" w14:textId="77777777" w:rsidTr="004C2D3E">
        <w:trPr>
          <w:trHeight w:val="588"/>
        </w:trPr>
        <w:tc>
          <w:tcPr>
            <w:tcW w:w="15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82328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141F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7.5 Amélioration de l'insertion des jeunes marins,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BDC5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Accueil de jeunes marins à bord</w:t>
            </w:r>
          </w:p>
          <w:p w14:paraId="573015D9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2FA6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Des jeunes – moins de 40 ans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-(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apprentis, stagiaires ou jeunes diplômés) sont régulièrement embarqués dans la limite de la capacité d'accueil du navire, telle qu'elle est mentionnée sur son permis de navigation. </w:t>
            </w:r>
          </w:p>
          <w:p w14:paraId="550E0435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Au cours des 5 dernières années, embarquement d’au moins 3 jeunes marins</w:t>
            </w:r>
            <w:r w:rsidRPr="004C2D3E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.</w:t>
            </w:r>
          </w:p>
          <w:p w14:paraId="15C45294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0ABC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  <w:p w14:paraId="59EA5A4A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 vérification de la capacité d’accueil du navire dans le permis de navigation et</w:t>
            </w:r>
          </w:p>
          <w:p w14:paraId="0E96ABCB" w14:textId="77777777" w:rsidR="004C2D3E" w:rsidRPr="004C2D3E" w:rsidRDefault="004C2D3E" w:rsidP="004C2D3E">
            <w:pPr>
              <w:numPr>
                <w:ilvl w:val="0"/>
                <w:numId w:val="1"/>
              </w:numPr>
              <w:tabs>
                <w:tab w:val="num" w:pos="954"/>
              </w:tabs>
              <w:suppressAutoHyphens/>
              <w:spacing w:before="0" w:after="0" w:line="240" w:lineRule="auto"/>
              <w:ind w:left="52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soit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 xml:space="preserve"> copie carte d’identité du jeune et du courrier d’information adressé à la DDTM</w:t>
            </w:r>
          </w:p>
          <w:p w14:paraId="248BF1E6" w14:textId="4619CCBA" w:rsidR="004C2D3E" w:rsidRPr="004C2D3E" w:rsidRDefault="004C2D3E" w:rsidP="004C2D3E">
            <w:pPr>
              <w:suppressAutoHyphens/>
              <w:spacing w:before="0" w:after="0" w:line="240" w:lineRule="auto"/>
              <w:ind w:left="38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- soit copie du fascicule du jeune marin.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BD9C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626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65491EF3" w14:textId="77777777" w:rsidTr="004C2D3E">
        <w:trPr>
          <w:trHeight w:val="454"/>
        </w:trPr>
        <w:tc>
          <w:tcPr>
            <w:tcW w:w="15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B0F0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B594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7.6 Promotion du métier de marin pêcheur et ancrage territorial de l’activité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CD04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Participation à des manifestations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0468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Des membres de l’unité de certification participent à des évènements de valorisation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C0F6" w14:textId="77777777" w:rsidR="004C2D3E" w:rsidRPr="004C2D3E" w:rsidRDefault="004C2D3E" w:rsidP="004C2D3E">
            <w:pPr>
              <w:suppressAutoHyphens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Contrôle documentaire : programme ou liste des participants à la manifestation.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D6EA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Bonus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4CA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C2D3E" w:rsidRPr="004C2D3E" w14:paraId="2F735406" w14:textId="77777777" w:rsidTr="004C2D3E">
        <w:trPr>
          <w:trHeight w:val="294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409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 xml:space="preserve">P8. L’équipage dispose de bonnes conditions de sécurité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EBC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8.1 Information des nouveaux arrivants : Chaque nouvel arrivant à bord reçoit un livret d'accueil l'informant des règles de sécurité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0DBA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Modalités d’accueil de chaque nouveau membre d’équipage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67B0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Présence d’un livret d’accueil à bord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A25E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</w:t>
            </w:r>
          </w:p>
          <w:p w14:paraId="5CBC62B5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existence d’un livret d’accueil à bord et interview d’un membre d’équipage,</w:t>
            </w:r>
          </w:p>
          <w:p w14:paraId="4223B383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ou existence d’un support écrit accessible au personnel adapté et compris (affichage, …).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A88C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DCA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3F2DAF04" w14:textId="77777777" w:rsidTr="004C2D3E">
        <w:trPr>
          <w:trHeight w:val="1555"/>
        </w:trPr>
        <w:tc>
          <w:tcPr>
            <w:tcW w:w="153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38D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0F8C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8.2 Les zones de travail et de traitement des produits à bord permettent à l’équipage d’opérer en toute sécurité.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Les navires équipés de systèmes de traction offrent des conditions de sécurité optimales pour les membres d’équipage chargés de leur manipulation.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4042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Organisation des zones de travail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Organisation des zones d’installation et manipulation des équipements de traction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0A95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Organisation conforme aux recommandations d'organisme compétent dans ce domaine se basant sur les directives conjointes FAO*/OMI*/OIT* concernant l’organisation des zones de travail et des équipements de traction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DE9B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à quai : vérification de la localisation des zones de travail de traitement des produits et de leur séparation avec les zones de traction.</w:t>
            </w:r>
          </w:p>
          <w:p w14:paraId="24CAF8C7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et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14:paraId="19B6BD17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copie du PV de la visite de sécurité (en France, visite effectuée par la CSN - centre de sécurité) et du permis de navigation.</w:t>
            </w:r>
          </w:p>
          <w:p w14:paraId="1280EA2F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6A4C3D8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proofErr w:type="spellStart"/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cf</w:t>
            </w:r>
            <w:proofErr w:type="spellEnd"/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exigences FAO* en annexe au guide de lecture)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A2D3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07EB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A30F1F7" w14:textId="77777777" w:rsidTr="004C2D3E">
        <w:trPr>
          <w:trHeight w:val="310"/>
        </w:trPr>
        <w:tc>
          <w:tcPr>
            <w:tcW w:w="153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14F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1A39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8.3 Suivi des accidents du travail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CEF5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bilan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annuel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65A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 nombre d’accidents du travail et leur évolution sont suivis et un bilan annuel est effectué. Une recherche de cause est mise en œuvre afin d’aboutir à des adaptations techniques ou de l’organisation du travail.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6834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</w:t>
            </w:r>
          </w:p>
          <w:p w14:paraId="5466161A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existence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d’un bilan annuel et, en cas d’accident, de fiche(s) de(s) action(s) corrective(s) à mettre en place et contrôle visuel de leur application.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AB3D7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3B7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5CF829F4" w14:textId="77777777" w:rsidTr="004C2D3E">
        <w:trPr>
          <w:trHeight w:val="409"/>
        </w:trPr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F7C8E" w14:textId="77777777" w:rsidR="004C2D3E" w:rsidRPr="004C2D3E" w:rsidRDefault="004C2D3E" w:rsidP="004C2D3E">
            <w:pPr>
              <w:suppressAutoHyphens/>
              <w:snapToGrid w:val="0"/>
              <w:spacing w:before="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  <w:t>P9. L’équipage est sensibilisé et formé à la sécurité, à l’hygiène et aux thématiques du développement durable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A15A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9.1 Formation complémentaire à la sécurité : le personnel est formé régulièrement à la sécurité par des formations complémentaires à la formation initiale.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E494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Liste de présence à une formation ou certificat de formation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D911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navires embarquent des marins qui suivent une formation au minimum 1 fois tous les 4 ans.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4F67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liste de présence à une réunion de formation des membres d’équipage ou certificat de formation</w:t>
            </w:r>
          </w:p>
          <w:p w14:paraId="7BEF8FB6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0693593" w14:textId="77777777" w:rsidR="004C2D3E" w:rsidRPr="004C2D3E" w:rsidRDefault="004C2D3E" w:rsidP="004C2D3E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Si le marin était sur un autre bateau au cours des 4 dernières années, les formations à la sécurité suivies sur d’autres bateaux pendant cette période permettent de valider le critère.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9170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499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454D0958" w14:textId="77777777" w:rsidTr="004C2D3E">
        <w:trPr>
          <w:trHeight w:val="305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E5866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203F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9.2 Formation à l’hygiène : le personnel qui manipule les produits de la pêche est formé régulièrement aux bonnes pratiques d’hygiène.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EFC70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Liste de présence à une formation ou certificat de formation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72921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Au minimum 1 formation d’une personne référente à bord tous les 2 ans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1CC0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documentaire : liste de présence à une réunion de formation ou certificat de formation.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CF7B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0DA3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7F60EC28" w14:textId="77777777" w:rsidTr="004C2D3E">
        <w:trPr>
          <w:trHeight w:val="57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C5AB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1384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9.3 Sensibilisation aux dangers des consommations addictives (alcool, tabac, médicaments...)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A0505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Politique de l'entreprise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Consignes données à l'équipage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Panneaux d’affichage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>Consignes dans le livret d'accueil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4DE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Des mesures visant à prévenir toute consommation non compatible à bord avec la sécurité du marin et du navire sont mises en œuvre.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BB25D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liste de présence à une réunion de formation des membres d’équipage ou certificat de formation ou vérification de la disponibilité de l’information à bord (panneau d’affichage, consignes dans le livret </w:t>
            </w:r>
            <w:proofErr w:type="gramStart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d’accueil,…</w:t>
            </w:r>
            <w:proofErr w:type="gramEnd"/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67CC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4304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C2D3E" w:rsidRPr="004C2D3E" w14:paraId="6B22BF7D" w14:textId="77777777" w:rsidTr="004C2D3E">
        <w:trPr>
          <w:trHeight w:val="166"/>
        </w:trPr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50B68A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lang w:eastAsia="ar-S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7974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9.4 Formation aux thématiques de la ressource, de la biodiversité et de l’environnement.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3AC79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Planning de formations</w:t>
            </w: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C9FCF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Au minimum organisation d’1 formation tous les 2 ans par l’unité de certification.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B99CC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documentaire : liste de présence à une formation des membres d’équipage ou certificat de formation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7F988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A8C2" w14:textId="77777777" w:rsidR="004C2D3E" w:rsidRPr="004C2D3E" w:rsidRDefault="004C2D3E" w:rsidP="004C2D3E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34CAD07" w14:textId="398175EF" w:rsidR="00EC60BD" w:rsidRDefault="00EC60BD" w:rsidP="00FF52CD">
      <w:pPr>
        <w:jc w:val="both"/>
        <w:rPr>
          <w:rFonts w:ascii="Arial" w:hAnsi="Arial" w:cs="Arial"/>
          <w:sz w:val="22"/>
          <w:szCs w:val="22"/>
        </w:rPr>
      </w:pPr>
    </w:p>
    <w:p w14:paraId="36962179" w14:textId="77777777" w:rsidR="00EC60BD" w:rsidRDefault="00EC60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6106" w:type="dxa"/>
        <w:tblInd w:w="-6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992"/>
        <w:gridCol w:w="851"/>
        <w:gridCol w:w="1134"/>
        <w:gridCol w:w="1276"/>
        <w:gridCol w:w="1559"/>
        <w:gridCol w:w="2551"/>
        <w:gridCol w:w="2552"/>
        <w:gridCol w:w="850"/>
        <w:gridCol w:w="2977"/>
      </w:tblGrid>
      <w:tr w:rsidR="00412869" w:rsidRPr="00412869" w14:paraId="40CE5B75" w14:textId="77777777" w:rsidTr="00A21C8E">
        <w:trPr>
          <w:trHeight w:val="536"/>
        </w:trPr>
        <w:tc>
          <w:tcPr>
            <w:tcW w:w="16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D4525F7" w14:textId="77777777" w:rsidR="00412869" w:rsidRPr="00412869" w:rsidRDefault="00412869" w:rsidP="00412869">
            <w:pPr>
              <w:tabs>
                <w:tab w:val="left" w:pos="5074"/>
              </w:tabs>
              <w:suppressAutoHyphens/>
              <w:snapToGrid w:val="0"/>
              <w:spacing w:before="0" w:after="0" w:line="240" w:lineRule="auto"/>
              <w:ind w:right="1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Qualité et valorisation des produits au débarquement</w:t>
            </w:r>
            <w:r w:rsidRPr="004128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12869" w:rsidRPr="00412869" w14:paraId="72CD187B" w14:textId="77777777" w:rsidTr="00A21C8E">
        <w:trPr>
          <w:trHeight w:val="157"/>
        </w:trPr>
        <w:tc>
          <w:tcPr>
            <w:tcW w:w="136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4797727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PRINCIPES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180F2CB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Principe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1932B75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Critères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49AFE55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Déclinaison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7BFEDE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Sous Critères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7B9A6F1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Indicateur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FFF99"/>
            <w:vAlign w:val="center"/>
          </w:tcPr>
          <w:p w14:paraId="6EA3DC3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Valeur cible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1F44A36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Modalité de contrôle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3E0D9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Notation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9B81B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Commentaire</w:t>
            </w:r>
          </w:p>
        </w:tc>
      </w:tr>
      <w:tr w:rsidR="00412869" w:rsidRPr="00412869" w14:paraId="29CE0BEB" w14:textId="77777777" w:rsidTr="00A21C8E">
        <w:trPr>
          <w:trHeight w:val="844"/>
        </w:trPr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312B4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t>P10. La fraîcheur et la qualité des produits écolabellisés sont garanties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3CA9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10.1. Préservation de la qualité à bord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ED36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10.1.1 Fraîcheur du produit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A5C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Produits glacés</w:t>
            </w:r>
          </w:p>
          <w:p w14:paraId="43A4A63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E88C361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135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10.1.1. Glaçage des produits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C5C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de glace dans les contenants au débarquement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7112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Obligation de débarquer les produits glacés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E51C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Contrôle visuel : une inspection au débarquement des produits.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41D0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EA04F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7C94D489" w14:textId="77777777" w:rsidTr="00A21C8E">
        <w:trPr>
          <w:trHeight w:val="889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BFE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189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F0BB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EB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3507AD7D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Produits débarqués vivants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75FB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10.1.1bis Préservation de la vitalité à bord avec des moyens de conservation adaptés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80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Présence de systèmes de conservation de la vitalité à bord </w:t>
            </w:r>
          </w:p>
          <w:p w14:paraId="1B831E57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02FB28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FF7B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Pour les marées &gt; 12h, obligation de conserver les grands crustacés (langoustes, homards, araignées et tourteaux) à bord dans un vivier.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DD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visuel du dispositif de conservation de la vitalité à bord.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9FF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8A3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0D22E34D" w14:textId="77777777" w:rsidTr="00A21C8E">
        <w:trPr>
          <w:trHeight w:val="588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A744B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4A1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272E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10.1.2 Soin apporté au produit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DC92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Rangement / conditionnement du produit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A57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Le rangement / conditionnement du produit est adapté au type de produit assurant une préservation optimisée. </w:t>
            </w:r>
          </w:p>
          <w:p w14:paraId="25FAF7A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guides de bonnes pratiques d’hygiène applicables à la congélation et à la transformation, quand ils existent, sont appliqués.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ED0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visuel du respect de l’aspect et intégrité physique du produit.</w:t>
            </w:r>
          </w:p>
          <w:p w14:paraId="06C10F3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Si des guides de bonnes pratiques d’hygiène applicables à la congélation et à la transformation existent, contrôle de leur application.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A8F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B1B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2AD488BE" w14:textId="77777777" w:rsidTr="00A21C8E">
        <w:trPr>
          <w:trHeight w:val="1035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76BEA4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C5FD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10.2 Qualité des produits de la pêche au débarquement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6634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10.2.1 Cotation fraîcheur pour les produits écolabellisés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357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Quantité des produits de la pêche classés B/ A et EXTRA / E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D2FA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Seuls les produits de qualité Extra et A sont écolabellisés. Les produits de qualité B ne sont pas vendus sous l’écolabel.</w:t>
            </w:r>
          </w:p>
          <w:p w14:paraId="2B896CA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52197CA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La part de volume coté en B au débarquement est &lt; 5% annuellement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2CC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Vente en halle à marée : documents de halle à marée à consulter, avec indication de la cotation fraîcheur.</w:t>
            </w:r>
          </w:p>
          <w:p w14:paraId="11AEA02A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Vente hors halle à marée : documents d'accompagnement du produit lors de la 1ère vente.</w:t>
            </w:r>
          </w:p>
          <w:p w14:paraId="734319A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703B6CC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produits débarqués vivants.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5A1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274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20B3A35A" w14:textId="77777777" w:rsidTr="00A21C8E">
        <w:trPr>
          <w:trHeight w:val="206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EBDB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0BD0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1253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10.2.2 La température à cœur des produits de la pêche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E719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Marées &lt;12h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09C02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D2E0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Température des produits au débarquement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5DB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&lt; 10°C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235F9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 métrologique : température à cœur du produit au débarquement</w:t>
            </w:r>
          </w:p>
          <w:p w14:paraId="0317DDE2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5A7E4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produits débarqués vivants.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C07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2B5C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60FCAF90" w14:textId="77777777" w:rsidTr="00A21C8E">
        <w:trPr>
          <w:trHeight w:val="149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E7F4D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66B0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43B37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80C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  <w:t>Marées de 12h à 24h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226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7DF09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8D48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val="pt-BR" w:eastAsia="ar-SA"/>
              </w:rPr>
              <w:t xml:space="preserve"> </w:t>
            </w: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&lt; 4°C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2CB95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B1D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38A702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74EF6495" w14:textId="77777777" w:rsidTr="00A21C8E">
        <w:trPr>
          <w:trHeight w:val="284"/>
        </w:trPr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81C6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shd w:val="clear" w:color="auto" w:fill="C0C0C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5E7D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D0AB0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FD00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Marées &gt; 24h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BE74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04164A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7CEA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&lt; 2°C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B83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881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62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C0C0C0"/>
                <w:lang w:eastAsia="ar-SA"/>
              </w:rPr>
            </w:pPr>
          </w:p>
        </w:tc>
      </w:tr>
      <w:tr w:rsidR="00412869" w:rsidRPr="00412869" w14:paraId="7A3BC113" w14:textId="77777777" w:rsidTr="00A21C8E">
        <w:trPr>
          <w:trHeight w:val="1147"/>
        </w:trPr>
        <w:tc>
          <w:tcPr>
            <w:tcW w:w="13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F296BA" w14:textId="77777777" w:rsidR="00412869" w:rsidRPr="00412869" w:rsidRDefault="00412869" w:rsidP="00412869">
            <w:pPr>
              <w:suppressAutoHyphens/>
              <w:snapToGrid w:val="0"/>
              <w:spacing w:before="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t xml:space="preserve">P11. Les produits sont bien valorisés 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B8D14F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11.1 Prévision des apports</w:t>
            </w:r>
          </w:p>
          <w:p w14:paraId="4E69444E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E4D9C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Information des halles à marée à l'avance des volumes qui vont être débarqués.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43B61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Présence d'un système d'information des halles à marée des apports.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6CCA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Un système d'information est en place permettant aux acheteurs d'être informés des apports.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72441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Interview et vérification que si le navire débarque en halle à marée, il adhère à un système collectif des prévisions d’apports.</w:t>
            </w:r>
          </w:p>
          <w:p w14:paraId="25E67A73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5F467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Non-applicable aux navires débarquant hors halles à marée.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4A7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5042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12869" w:rsidRPr="00412869" w14:paraId="12B98ADD" w14:textId="77777777" w:rsidTr="00A21C8E">
        <w:trPr>
          <w:trHeight w:val="122"/>
        </w:trPr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6AF295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bCs/>
                <w:color w:val="FF9900"/>
                <w:lang w:eastAsia="ar-SA"/>
              </w:rPr>
              <w:lastRenderedPageBreak/>
              <w:t>12. La traçabilité est garantie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9218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12.1 Maintien de la traçabilité et des exigences jusqu’à la première vente</w:t>
            </w:r>
          </w:p>
          <w:p w14:paraId="30B94637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76899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Système de traçabilité et d’identification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48D6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L’unité de certification met en œuvre un système formalisé d’identification et de traçabilité des produits écolabellisés au débarquement jusqu’à la première vente.</w:t>
            </w:r>
          </w:p>
          <w:p w14:paraId="70B15765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Les informations suivantes sont disponibles : engin de pêche, zones de gestion du stock* (carrés CIEM*)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72B99F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Contrôle au débarquement :</w:t>
            </w:r>
          </w:p>
          <w:p w14:paraId="7247F362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C0C0C0"/>
                <w:lang w:eastAsia="ar-SA"/>
              </w:rPr>
            </w:pPr>
            <w:proofErr w:type="gramStart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test</w:t>
            </w:r>
            <w:proofErr w:type="gramEnd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de traçabilité ascendante* sur un bordereau de vente d’un produit écolabel : vérification de la quantité pêchée sur le </w:t>
            </w:r>
            <w:proofErr w:type="spellStart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logbook</w:t>
            </w:r>
            <w:proofErr w:type="spellEnd"/>
            <w:r w:rsidRPr="004128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  <w:p w14:paraId="4D50E2A6" w14:textId="77777777" w:rsidR="00412869" w:rsidRPr="00412869" w:rsidRDefault="00412869" w:rsidP="00412869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3D173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2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C/NC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E5C6" w14:textId="77777777" w:rsidR="00412869" w:rsidRPr="00412869" w:rsidRDefault="00412869" w:rsidP="00412869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0DBC0D4" w14:textId="77777777" w:rsidR="00AA5255" w:rsidRPr="00FF52CD" w:rsidRDefault="00AA5255" w:rsidP="00FF52CD">
      <w:pPr>
        <w:jc w:val="both"/>
        <w:rPr>
          <w:rFonts w:ascii="Arial" w:hAnsi="Arial" w:cs="Arial"/>
          <w:sz w:val="22"/>
          <w:szCs w:val="22"/>
        </w:rPr>
      </w:pPr>
    </w:p>
    <w:sectPr w:rsidR="00AA5255" w:rsidRPr="00FF52CD" w:rsidSect="00864806">
      <w:pgSz w:w="16817" w:h="11901" w:orient="landscape"/>
      <w:pgMar w:top="1077" w:right="1077" w:bottom="1077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2E7E" w14:textId="77777777" w:rsidR="00FF61B2" w:rsidRDefault="00FF61B2" w:rsidP="00E66B10">
      <w:pPr>
        <w:spacing w:before="0" w:after="0" w:line="240" w:lineRule="auto"/>
      </w:pPr>
      <w:r>
        <w:separator/>
      </w:r>
    </w:p>
  </w:endnote>
  <w:endnote w:type="continuationSeparator" w:id="0">
    <w:p w14:paraId="0C8AA5F8" w14:textId="77777777" w:rsidR="00FF61B2" w:rsidRDefault="00FF61B2" w:rsidP="00E66B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840460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AF4C636" w14:textId="77777777" w:rsidR="00A834CF" w:rsidRDefault="00A834CF" w:rsidP="00F02F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B64CD40" w14:textId="77777777" w:rsidR="00A834CF" w:rsidRDefault="00A834CF" w:rsidP="00A834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DD4E" w14:textId="77777777" w:rsidR="00A834CF" w:rsidRDefault="00A834CF" w:rsidP="00A834CF">
    <w:pPr>
      <w:pStyle w:val="Pieddepage"/>
      <w:jc w:val="right"/>
      <w:rPr>
        <w:caps/>
        <w:color w:val="2699D1" w:themeColor="accent1"/>
      </w:rPr>
    </w:pPr>
    <w:r>
      <w:rPr>
        <w:caps/>
        <w:color w:val="2699D1" w:themeColor="accent1"/>
      </w:rPr>
      <w:fldChar w:fldCharType="begin"/>
    </w:r>
    <w:r>
      <w:rPr>
        <w:caps/>
        <w:color w:val="2699D1" w:themeColor="accent1"/>
      </w:rPr>
      <w:instrText>PAGE   \* MERGEFORMAT</w:instrText>
    </w:r>
    <w:r>
      <w:rPr>
        <w:caps/>
        <w:color w:val="2699D1" w:themeColor="accent1"/>
      </w:rPr>
      <w:fldChar w:fldCharType="separate"/>
    </w:r>
    <w:r>
      <w:rPr>
        <w:caps/>
        <w:color w:val="2699D1" w:themeColor="accent1"/>
      </w:rPr>
      <w:t>2</w:t>
    </w:r>
    <w:r>
      <w:rPr>
        <w:caps/>
        <w:color w:val="2699D1" w:themeColor="accent1"/>
      </w:rPr>
      <w:fldChar w:fldCharType="end"/>
    </w:r>
  </w:p>
  <w:p w14:paraId="55B7DF9D" w14:textId="77777777" w:rsidR="00A834CF" w:rsidRDefault="00A834CF">
    <w:pPr>
      <w:pStyle w:val="Pieddepage"/>
      <w:jc w:val="center"/>
      <w:rPr>
        <w:caps/>
        <w:color w:val="2699D1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1DD5" w14:textId="77777777" w:rsidR="00FF61B2" w:rsidRDefault="00FF61B2" w:rsidP="00E66B10">
      <w:pPr>
        <w:spacing w:before="0" w:after="0" w:line="240" w:lineRule="auto"/>
      </w:pPr>
      <w:r>
        <w:separator/>
      </w:r>
    </w:p>
  </w:footnote>
  <w:footnote w:type="continuationSeparator" w:id="0">
    <w:p w14:paraId="735418F2" w14:textId="77777777" w:rsidR="00FF61B2" w:rsidRDefault="00FF61B2" w:rsidP="00E66B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2699D1" w:themeColor="accent1"/>
        <w:spacing w:val="20"/>
        <w:sz w:val="15"/>
        <w:szCs w:val="15"/>
      </w:rPr>
      <w:alias w:val="Titre"/>
      <w:tag w:val=""/>
      <w:id w:val="-220993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28C70A17" w14:textId="701FF42D" w:rsidR="00A834CF" w:rsidRPr="00D71295" w:rsidRDefault="00864806" w:rsidP="00A834CF">
        <w:pPr>
          <w:pStyle w:val="Sansinterligne"/>
          <w:spacing w:line="264" w:lineRule="auto"/>
          <w:jc w:val="right"/>
          <w:rPr>
            <w:rFonts w:ascii="Arial" w:hAnsi="Arial" w:cs="Arial"/>
            <w:color w:val="2699D1" w:themeColor="accent1"/>
            <w:spacing w:val="20"/>
            <w:sz w:val="15"/>
            <w:szCs w:val="15"/>
          </w:rPr>
        </w:pPr>
        <w:r>
          <w:rPr>
            <w:rFonts w:ascii="Arial" w:hAnsi="Arial" w:cs="Arial"/>
            <w:color w:val="2699D1" w:themeColor="accent1"/>
            <w:spacing w:val="20"/>
            <w:sz w:val="15"/>
            <w:szCs w:val="15"/>
          </w:rPr>
          <w:t>Version n°2 – Juillet 2025</w:t>
        </w:r>
      </w:p>
    </w:sdtContent>
  </w:sdt>
  <w:p w14:paraId="76DAD79A" w14:textId="77777777" w:rsidR="00A834CF" w:rsidRDefault="00A8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0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  <w:color w:val="auto"/>
      </w:rPr>
    </w:lvl>
  </w:abstractNum>
  <w:num w:numId="1" w16cid:durableId="57941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03"/>
    <w:rsid w:val="000339D8"/>
    <w:rsid w:val="00181FCA"/>
    <w:rsid w:val="002F5957"/>
    <w:rsid w:val="00412869"/>
    <w:rsid w:val="004927A6"/>
    <w:rsid w:val="004C237C"/>
    <w:rsid w:val="004C2D3E"/>
    <w:rsid w:val="004C5AB9"/>
    <w:rsid w:val="0050735D"/>
    <w:rsid w:val="0059166A"/>
    <w:rsid w:val="006C09D8"/>
    <w:rsid w:val="007031F3"/>
    <w:rsid w:val="00834B94"/>
    <w:rsid w:val="00864806"/>
    <w:rsid w:val="0089744A"/>
    <w:rsid w:val="008B7F2D"/>
    <w:rsid w:val="0091532D"/>
    <w:rsid w:val="00A07003"/>
    <w:rsid w:val="00A21C8E"/>
    <w:rsid w:val="00A671D8"/>
    <w:rsid w:val="00A834CF"/>
    <w:rsid w:val="00AA5255"/>
    <w:rsid w:val="00B358DB"/>
    <w:rsid w:val="00D44221"/>
    <w:rsid w:val="00D71295"/>
    <w:rsid w:val="00D73874"/>
    <w:rsid w:val="00DB1446"/>
    <w:rsid w:val="00E64F5B"/>
    <w:rsid w:val="00E66B10"/>
    <w:rsid w:val="00EC60BD"/>
    <w:rsid w:val="00FE5511"/>
    <w:rsid w:val="00FF52C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B039"/>
  <w15:chartTrackingRefBased/>
  <w15:docId w15:val="{99964BB3-773D-4DEA-9974-CDDCE32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6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9166A"/>
    <w:pPr>
      <w:pBdr>
        <w:top w:val="single" w:sz="24" w:space="0" w:color="2699D1" w:themeColor="accent1"/>
        <w:left w:val="single" w:sz="24" w:space="0" w:color="2699D1" w:themeColor="accent1"/>
        <w:bottom w:val="single" w:sz="24" w:space="0" w:color="2699D1" w:themeColor="accent1"/>
        <w:right w:val="single" w:sz="24" w:space="0" w:color="2699D1" w:themeColor="accent1"/>
      </w:pBdr>
      <w:shd w:val="clear" w:color="auto" w:fill="2699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6A"/>
    <w:pPr>
      <w:pBdr>
        <w:top w:val="single" w:sz="24" w:space="0" w:color="D2EAF7" w:themeColor="accent1" w:themeTint="33"/>
        <w:left w:val="single" w:sz="24" w:space="0" w:color="D2EAF7" w:themeColor="accent1" w:themeTint="33"/>
        <w:bottom w:val="single" w:sz="24" w:space="0" w:color="D2EAF7" w:themeColor="accent1" w:themeTint="33"/>
        <w:right w:val="single" w:sz="24" w:space="0" w:color="D2EAF7" w:themeColor="accent1" w:themeTint="33"/>
      </w:pBdr>
      <w:shd w:val="clear" w:color="auto" w:fill="D2EAF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6A"/>
    <w:pPr>
      <w:pBdr>
        <w:top w:val="single" w:sz="6" w:space="2" w:color="2699D1" w:themeColor="accent1"/>
        <w:left w:val="single" w:sz="6" w:space="2" w:color="2699D1" w:themeColor="accent1"/>
      </w:pBdr>
      <w:spacing w:before="300" w:after="0"/>
      <w:outlineLvl w:val="2"/>
    </w:pPr>
    <w:rPr>
      <w:caps/>
      <w:color w:val="134C6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6A"/>
    <w:pPr>
      <w:pBdr>
        <w:top w:val="dotted" w:sz="6" w:space="2" w:color="2699D1" w:themeColor="accent1"/>
        <w:left w:val="dotted" w:sz="6" w:space="2" w:color="2699D1" w:themeColor="accent1"/>
      </w:pBdr>
      <w:spacing w:before="300" w:after="0"/>
      <w:outlineLvl w:val="3"/>
    </w:pPr>
    <w:rPr>
      <w:caps/>
      <w:color w:val="1C729C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6A"/>
    <w:pPr>
      <w:pBdr>
        <w:bottom w:val="single" w:sz="6" w:space="1" w:color="2699D1" w:themeColor="accent1"/>
      </w:pBdr>
      <w:spacing w:before="300" w:after="0"/>
      <w:outlineLvl w:val="4"/>
    </w:pPr>
    <w:rPr>
      <w:caps/>
      <w:color w:val="1C729C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6A"/>
    <w:pPr>
      <w:pBdr>
        <w:bottom w:val="dotted" w:sz="6" w:space="1" w:color="2699D1" w:themeColor="accent1"/>
      </w:pBdr>
      <w:spacing w:before="300" w:after="0"/>
      <w:outlineLvl w:val="5"/>
    </w:pPr>
    <w:rPr>
      <w:caps/>
      <w:color w:val="1C729C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6A"/>
    <w:pPr>
      <w:spacing w:before="300" w:after="0"/>
      <w:outlineLvl w:val="6"/>
    </w:pPr>
    <w:rPr>
      <w:caps/>
      <w:color w:val="1C729C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B10"/>
  </w:style>
  <w:style w:type="paragraph" w:styleId="Pieddepage">
    <w:name w:val="footer"/>
    <w:basedOn w:val="Normal"/>
    <w:link w:val="PieddepageCar"/>
    <w:uiPriority w:val="99"/>
    <w:unhideWhenUsed/>
    <w:rsid w:val="00E66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B10"/>
  </w:style>
  <w:style w:type="character" w:customStyle="1" w:styleId="Titre1Car">
    <w:name w:val="Titre 1 Car"/>
    <w:basedOn w:val="Policepardfaut"/>
    <w:link w:val="Titre1"/>
    <w:uiPriority w:val="9"/>
    <w:rsid w:val="0059166A"/>
    <w:rPr>
      <w:b/>
      <w:bCs/>
      <w:caps/>
      <w:color w:val="FFFFFF" w:themeColor="background1"/>
      <w:spacing w:val="15"/>
      <w:shd w:val="clear" w:color="auto" w:fill="2699D1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9166A"/>
    <w:rPr>
      <w:caps/>
      <w:spacing w:val="15"/>
      <w:shd w:val="clear" w:color="auto" w:fill="D2EAF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9166A"/>
    <w:rPr>
      <w:caps/>
      <w:color w:val="134C6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9166A"/>
    <w:rPr>
      <w:caps/>
      <w:color w:val="1C729C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9166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6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166A"/>
    <w:rPr>
      <w:b/>
      <w:bCs/>
      <w:color w:val="1C729C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9166A"/>
    <w:pPr>
      <w:spacing w:before="720"/>
    </w:pPr>
    <w:rPr>
      <w:caps/>
      <w:color w:val="2699D1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9166A"/>
    <w:rPr>
      <w:caps/>
      <w:color w:val="2699D1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9166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9166A"/>
    <w:rPr>
      <w:b/>
      <w:bCs/>
    </w:rPr>
  </w:style>
  <w:style w:type="character" w:styleId="Accentuation">
    <w:name w:val="Emphasis"/>
    <w:uiPriority w:val="20"/>
    <w:qFormat/>
    <w:rsid w:val="0059166A"/>
    <w:rPr>
      <w:caps/>
      <w:color w:val="134C6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9166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9166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916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166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9166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6A"/>
    <w:pPr>
      <w:pBdr>
        <w:top w:val="single" w:sz="4" w:space="10" w:color="2699D1" w:themeColor="accent1"/>
        <w:left w:val="single" w:sz="4" w:space="10" w:color="2699D1" w:themeColor="accent1"/>
      </w:pBdr>
      <w:spacing w:after="0"/>
      <w:ind w:left="1296" w:right="1152"/>
      <w:jc w:val="both"/>
    </w:pPr>
    <w:rPr>
      <w:i/>
      <w:iCs/>
      <w:color w:val="2699D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6A"/>
    <w:rPr>
      <w:i/>
      <w:iCs/>
      <w:color w:val="2699D1" w:themeColor="accent1"/>
      <w:sz w:val="20"/>
      <w:szCs w:val="20"/>
    </w:rPr>
  </w:style>
  <w:style w:type="character" w:styleId="Accentuationlgre">
    <w:name w:val="Subtle Emphasis"/>
    <w:uiPriority w:val="19"/>
    <w:qFormat/>
    <w:rsid w:val="0059166A"/>
    <w:rPr>
      <w:i/>
      <w:iCs/>
      <w:color w:val="134C68" w:themeColor="accent1" w:themeShade="7F"/>
    </w:rPr>
  </w:style>
  <w:style w:type="character" w:styleId="Accentuationintense">
    <w:name w:val="Intense Emphasis"/>
    <w:uiPriority w:val="21"/>
    <w:qFormat/>
    <w:rsid w:val="0059166A"/>
    <w:rPr>
      <w:b/>
      <w:bCs/>
      <w:caps/>
      <w:color w:val="134C68" w:themeColor="accent1" w:themeShade="7F"/>
      <w:spacing w:val="10"/>
    </w:rPr>
  </w:style>
  <w:style w:type="character" w:styleId="Rfrencelgre">
    <w:name w:val="Subtle Reference"/>
    <w:uiPriority w:val="31"/>
    <w:qFormat/>
    <w:rsid w:val="0059166A"/>
    <w:rPr>
      <w:b/>
      <w:bCs/>
      <w:color w:val="2699D1" w:themeColor="accent1"/>
    </w:rPr>
  </w:style>
  <w:style w:type="character" w:styleId="Rfrenceintense">
    <w:name w:val="Intense Reference"/>
    <w:uiPriority w:val="32"/>
    <w:qFormat/>
    <w:rsid w:val="0059166A"/>
    <w:rPr>
      <w:b/>
      <w:bCs/>
      <w:i/>
      <w:iCs/>
      <w:caps/>
      <w:color w:val="2699D1" w:themeColor="accent1"/>
    </w:rPr>
  </w:style>
  <w:style w:type="character" w:styleId="Titredulivre">
    <w:name w:val="Book Title"/>
    <w:uiPriority w:val="33"/>
    <w:qFormat/>
    <w:rsid w:val="0059166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166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F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8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utheret\AppData\Local\Microsoft\Windows\INetCache\Content.Outlook\R6BAN01Z\DocumentTechnique-Ecolabel-peche-durable.dotx" TargetMode="External"/></Relationships>
</file>

<file path=word/theme/theme1.xml><?xml version="1.0" encoding="utf-8"?>
<a:theme xmlns:a="http://schemas.openxmlformats.org/drawingml/2006/main" name="Thème Office">
  <a:themeElements>
    <a:clrScheme name="Ecolabel Pêche durable">
      <a:dk1>
        <a:srgbClr val="000000"/>
      </a:dk1>
      <a:lt1>
        <a:srgbClr val="FFFFFF"/>
      </a:lt1>
      <a:dk2>
        <a:srgbClr val="003E87"/>
      </a:dk2>
      <a:lt2>
        <a:srgbClr val="A1D9F3"/>
      </a:lt2>
      <a:accent1>
        <a:srgbClr val="2699D1"/>
      </a:accent1>
      <a:accent2>
        <a:srgbClr val="00983C"/>
      </a:accent2>
      <a:accent3>
        <a:srgbClr val="FFD500"/>
      </a:accent3>
      <a:accent4>
        <a:srgbClr val="EA5433"/>
      </a:accent4>
      <a:accent5>
        <a:srgbClr val="BBAFAB"/>
      </a:accent5>
      <a:accent6>
        <a:srgbClr val="49311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5B4108E6EC44AA149403A2F31FFB9" ma:contentTypeVersion="18" ma:contentTypeDescription="Crée un document." ma:contentTypeScope="" ma:versionID="23bb37a16f8e0e6933f8a89cc46271b4">
  <xsd:schema xmlns:xsd="http://www.w3.org/2001/XMLSchema" xmlns:xs="http://www.w3.org/2001/XMLSchema" xmlns:p="http://schemas.microsoft.com/office/2006/metadata/properties" xmlns:ns2="a9a5c9bd-78e0-4f75-9452-be42b22683cd" xmlns:ns3="e0dbcfce-e79e-4684-8598-92924fedc24a" targetNamespace="http://schemas.microsoft.com/office/2006/metadata/properties" ma:root="true" ma:fieldsID="b3ab594d59fcd1ac229977dbbdd70b5d" ns2:_="" ns3:_="">
    <xsd:import namespace="a9a5c9bd-78e0-4f75-9452-be42b22683cd"/>
    <xsd:import namespace="e0dbcfce-e79e-4684-8598-92924fedc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c9bd-78e0-4f75-9452-be42b2268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bcfce-e79e-4684-8598-92924fedc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c9926-ed7c-4fb2-b175-e26756fa423e}" ma:internalName="TaxCatchAll" ma:showField="CatchAllData" ma:web="e0dbcfce-e79e-4684-8598-92924fed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bcfce-e79e-4684-8598-92924fedc24a" xsi:nil="true"/>
    <lcf76f155ced4ddcb4097134ff3c332f xmlns="a9a5c9bd-78e0-4f75-9452-be42b2268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21136-3D75-4BEE-AF40-A3C9FA62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F55CD-51AC-441A-BC47-38B1FEE8B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5c9bd-78e0-4f75-9452-be42b22683cd"/>
    <ds:schemaRef ds:uri="e0dbcfce-e79e-4684-8598-92924fedc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B57CC-8857-6B41-90F3-59AA1CAFE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90EF3-1CFD-427F-B405-D2411AC6662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0dbcfce-e79e-4684-8598-92924fedc24a"/>
    <ds:schemaRef ds:uri="a9a5c9bd-78e0-4f75-9452-be42b22683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DocumentTechnique-Ecolabel-peche-durable</Template>
  <TotalTime>8</TotalTime>
  <Pages>13</Pages>
  <Words>3922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n°2 – Juillet 2025</dc:title>
  <dc:subject/>
  <dc:creator>Elsa GAUTHERET</dc:creator>
  <cp:keywords/>
  <dc:description/>
  <cp:lastModifiedBy>Elsa GAUTHERET</cp:lastModifiedBy>
  <cp:revision>13</cp:revision>
  <dcterms:created xsi:type="dcterms:W3CDTF">2025-07-08T09:21:00Z</dcterms:created>
  <dcterms:modified xsi:type="dcterms:W3CDTF">2025-07-10T13:26:00Z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0x0101003575B4108E6EC44AA149403A2F31FFB9</vt:lpwstr>
  </property>
  <property fmtid="{D5CDD505-2E9C-101B-9397-08002B2CF9AE}" pid="3" name="MediaServiceImageTags">
    <vt:lpwstr/>
  </property>
</Properties>
</file>